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75" w:beforeAutospacing="0" w:after="75" w:afterAutospacing="0" w:line="360" w:lineRule="auto"/>
        <w:widowControl/>
        <w:rPr>
          <w:rStyle w:val="894"/>
          <w:rFonts w:hint="eastAsia" w:ascii="宋体" w:hAnsi="宋体" w:cs="宋体"/>
          <w:color w:val="auto"/>
          <w:sz w:val="72"/>
          <w:szCs w:val="72"/>
          <w:highlight w:val="none"/>
        </w:rPr>
      </w:pPr>
      <w:r>
        <w:rPr>
          <w:color w:val="auto"/>
          <w:sz w:val="72"/>
          <w:highlight w:val="none"/>
        </w:rPr>
      </w:r>
      <w:r/>
    </w:p>
    <w:p>
      <w:pPr>
        <w:pStyle w:val="892"/>
        <w:jc w:val="center"/>
        <w:spacing w:before="75" w:beforeAutospacing="0" w:after="75" w:afterAutospacing="0" w:line="360" w:lineRule="auto"/>
        <w:widowControl/>
        <w:rPr>
          <w:rStyle w:val="894"/>
          <w:rFonts w:hint="eastAsia" w:ascii="宋体" w:hAnsi="宋体" w:cs="宋体"/>
          <w:color w:val="auto"/>
          <w:sz w:val="72"/>
          <w:szCs w:val="72"/>
          <w:highlight w:val="none"/>
        </w:rPr>
      </w:pPr>
      <w:r>
        <w:rPr>
          <w:rStyle w:val="894"/>
          <w:rFonts w:hint="eastAsia" w:ascii="宋体" w:hAnsi="宋体" w:cs="宋体"/>
          <w:color w:val="auto"/>
          <w:sz w:val="72"/>
          <w:szCs w:val="72"/>
          <w:highlight w:val="none"/>
        </w:rPr>
        <w:t xml:space="preserve">苏州市吴中区政府采购</w:t>
      </w:r>
      <w:r/>
    </w:p>
    <w:p>
      <w:pPr>
        <w:pStyle w:val="892"/>
        <w:jc w:val="center"/>
        <w:spacing w:before="75" w:beforeAutospacing="0" w:after="75" w:afterAutospacing="0" w:line="360" w:lineRule="auto"/>
        <w:widowControl/>
        <w:rPr>
          <w:rStyle w:val="894"/>
          <w:rFonts w:hint="eastAsia" w:ascii="宋体" w:hAnsi="宋体" w:cs="宋体"/>
          <w:color w:val="auto"/>
          <w:sz w:val="72"/>
          <w:szCs w:val="72"/>
          <w:highlight w:val="none"/>
        </w:rPr>
      </w:pPr>
      <w:r>
        <w:rPr>
          <w:rStyle w:val="894"/>
          <w:rFonts w:ascii="宋体" w:hAnsi="宋体" w:cs="宋体"/>
          <w:color w:val="auto"/>
          <w:sz w:val="72"/>
          <w:szCs w:val="72"/>
          <w:highlight w:val="none"/>
        </w:rPr>
        <w:t xml:space="preserve">服务类</w:t>
      </w:r>
      <w:r>
        <w:rPr>
          <w:rStyle w:val="894"/>
          <w:rFonts w:hint="eastAsia" w:ascii="宋体" w:hAnsi="宋体" w:cs="宋体"/>
          <w:color w:val="auto"/>
          <w:sz w:val="72"/>
          <w:szCs w:val="72"/>
          <w:highlight w:val="none"/>
        </w:rPr>
        <w:t xml:space="preserve">磋商</w:t>
      </w:r>
      <w:r>
        <w:rPr>
          <w:rStyle w:val="894"/>
          <w:rFonts w:ascii="宋体" w:hAnsi="宋体" w:cs="宋体"/>
          <w:color w:val="auto"/>
          <w:sz w:val="72"/>
          <w:szCs w:val="72"/>
          <w:highlight w:val="none"/>
        </w:rPr>
        <w:t xml:space="preserve">项目</w:t>
      </w:r>
      <w:r/>
    </w:p>
    <w:p>
      <w:pPr>
        <w:pStyle w:val="892"/>
        <w:spacing w:before="75" w:beforeAutospacing="0" w:after="75" w:afterAutospacing="0" w:line="360" w:lineRule="auto"/>
        <w:widowControl/>
        <w:rPr>
          <w:rStyle w:val="894"/>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92"/>
        <w:spacing w:before="75" w:beforeAutospacing="0" w:after="75" w:afterAutospacing="0" w:line="360" w:lineRule="auto"/>
        <w:widowControl/>
        <w:rPr>
          <w:rStyle w:val="894"/>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92"/>
        <w:spacing w:before="75" w:beforeAutospacing="0" w:after="75" w:afterAutospacing="0" w:line="360" w:lineRule="auto"/>
        <w:widowControl/>
        <w:rPr>
          <w:rFonts w:hint="eastAsia" w:ascii="宋体" w:hAnsi="宋体" w:cs="sans-serif"/>
          <w:color w:val="auto"/>
          <w:highlight w:val="none"/>
        </w:rPr>
      </w:pPr>
      <w:r>
        <w:rPr>
          <w:rFonts w:hint="eastAsia" w:ascii="宋体" w:hAnsi="宋体" w:cs="sans-serif"/>
          <w:color w:val="auto"/>
          <w:highlight w:val="none"/>
        </w:rPr>
      </w:r>
      <w:r/>
    </w:p>
    <w:p>
      <w:pPr>
        <w:pStyle w:val="892"/>
        <w:ind w:firstLine="904"/>
        <w:spacing w:before="75" w:beforeAutospacing="0" w:after="75" w:afterAutospacing="0" w:line="360" w:lineRule="auto"/>
        <w:widowControl/>
        <w:rPr>
          <w:rStyle w:val="894"/>
          <w:rFonts w:hint="eastAsia" w:ascii="宋体" w:hAnsi="宋体" w:cs="宋体"/>
          <w:color w:val="auto"/>
          <w:sz w:val="30"/>
          <w:szCs w:val="30"/>
          <w:highlight w:val="none"/>
        </w:rPr>
      </w:pPr>
      <w:r>
        <w:rPr>
          <w:rStyle w:val="894"/>
          <w:rFonts w:hint="eastAsia" w:ascii="宋体" w:hAnsi="宋体" w:cs="宋体"/>
          <w:color w:val="auto"/>
          <w:sz w:val="30"/>
          <w:szCs w:val="30"/>
          <w:highlight w:val="none"/>
        </w:rPr>
        <w:t xml:space="preserve">项目编号：</w:t>
      </w:r>
      <w:r>
        <w:rPr>
          <w:rStyle w:val="894"/>
          <w:rFonts w:hint="eastAsia" w:ascii="宋体" w:hAnsi="宋体" w:cs="宋体"/>
          <w:color w:val="auto"/>
          <w:sz w:val="30"/>
          <w:szCs w:val="30"/>
          <w:highlight w:val="none"/>
          <w:u w:val="single"/>
        </w:rPr>
        <w:t xml:space="preserve">JSZC-320506-SZDX-C2025-0020</w:t>
      </w:r>
      <w:r/>
    </w:p>
    <w:p>
      <w:pPr>
        <w:pStyle w:val="892"/>
        <w:ind w:firstLine="904"/>
        <w:spacing w:before="75" w:beforeAutospacing="0" w:after="75" w:afterAutospacing="0" w:line="360" w:lineRule="auto"/>
        <w:widowControl/>
        <w:rPr>
          <w:rFonts w:hint="eastAsia" w:ascii="宋体" w:hAnsi="宋体" w:cs="sans-serif"/>
          <w:color w:val="auto"/>
          <w:highlight w:val="none"/>
        </w:rPr>
      </w:pPr>
      <w:r>
        <w:rPr>
          <w:rStyle w:val="894"/>
          <w:rFonts w:hint="eastAsia" w:ascii="宋体" w:hAnsi="宋体" w:cs="宋体"/>
          <w:color w:val="auto"/>
          <w:sz w:val="30"/>
          <w:szCs w:val="30"/>
          <w:highlight w:val="none"/>
        </w:rPr>
        <w:t xml:space="preserve">项目名称：</w:t>
      </w:r>
      <w:r>
        <w:rPr>
          <w:rStyle w:val="894"/>
          <w:rFonts w:hint="eastAsia" w:ascii="宋体" w:hAnsi="宋体" w:cs="宋体"/>
          <w:color w:val="auto"/>
          <w:sz w:val="30"/>
          <w:szCs w:val="30"/>
          <w:highlight w:val="none"/>
          <w:u w:val="single"/>
        </w:rPr>
        <w:t xml:space="preserve">2026年太湖街道食堂服务项目</w:t>
      </w:r>
      <w:r/>
    </w:p>
    <w:p>
      <w:pPr>
        <w:pStyle w:val="892"/>
        <w:ind w:firstLine="904"/>
        <w:spacing w:before="75" w:beforeAutospacing="0" w:after="75" w:afterAutospacing="0" w:line="360" w:lineRule="auto"/>
        <w:widowControl/>
        <w:rPr>
          <w:rFonts w:hint="eastAsia" w:ascii="宋体" w:hAnsi="宋体" w:cs="sans-serif"/>
          <w:color w:val="auto"/>
          <w:highlight w:val="none"/>
        </w:rPr>
      </w:pPr>
      <w:r>
        <w:rPr>
          <w:rStyle w:val="894"/>
          <w:rFonts w:hint="eastAsia" w:ascii="宋体" w:hAnsi="宋体" w:cs="宋体"/>
          <w:color w:val="auto"/>
          <w:sz w:val="30"/>
          <w:szCs w:val="30"/>
          <w:highlight w:val="none"/>
        </w:rPr>
        <w:t xml:space="preserve">采 购 人：</w:t>
      </w:r>
      <w:r>
        <w:rPr>
          <w:rStyle w:val="894"/>
          <w:rFonts w:hint="eastAsia" w:ascii="宋体" w:hAnsi="宋体" w:cs="宋体"/>
          <w:color w:val="auto"/>
          <w:sz w:val="30"/>
          <w:szCs w:val="30"/>
          <w:highlight w:val="none"/>
          <w:u w:val="single"/>
        </w:rPr>
        <w:t xml:space="preserve">苏州市吴中区人民政府太湖街道办事处</w:t>
      </w:r>
      <w:r/>
    </w:p>
    <w:p>
      <w:pPr>
        <w:pStyle w:val="892"/>
        <w:ind w:firstLine="904"/>
        <w:spacing w:before="75" w:beforeAutospacing="0" w:after="75" w:afterAutospacing="0" w:line="360" w:lineRule="auto"/>
        <w:widowControl/>
        <w:rPr>
          <w:rStyle w:val="894"/>
          <w:rFonts w:hint="eastAsia" w:ascii="宋体" w:hAnsi="宋体" w:cs="宋体"/>
          <w:color w:val="auto"/>
          <w:sz w:val="30"/>
          <w:szCs w:val="30"/>
          <w:highlight w:val="none"/>
        </w:rPr>
      </w:pPr>
      <w:r>
        <w:rPr>
          <w:rStyle w:val="894"/>
          <w:rFonts w:hint="eastAsia" w:ascii="宋体" w:hAnsi="宋体" w:cs="宋体"/>
          <w:color w:val="auto"/>
          <w:sz w:val="30"/>
          <w:szCs w:val="30"/>
          <w:highlight w:val="none"/>
        </w:rPr>
        <w:t xml:space="preserve">采购代理机构：</w:t>
      </w:r>
      <w:r>
        <w:rPr>
          <w:rStyle w:val="894"/>
          <w:rFonts w:hint="eastAsia" w:ascii="宋体" w:hAnsi="宋体" w:cs="宋体"/>
          <w:color w:val="auto"/>
          <w:sz w:val="30"/>
          <w:szCs w:val="30"/>
          <w:highlight w:val="none"/>
          <w:u w:val="single"/>
        </w:rPr>
        <w:t xml:space="preserve">鼎信工程咨询（苏州）有限公司</w:t>
      </w:r>
      <w:r/>
    </w:p>
    <w:p>
      <w:pPr>
        <w:pStyle w:val="892"/>
        <w:ind w:firstLine="904"/>
        <w:spacing w:before="75" w:beforeAutospacing="0" w:after="75" w:afterAutospacing="0" w:line="360" w:lineRule="auto"/>
        <w:widowControl/>
        <w:rPr>
          <w:rFonts w:hint="eastAsia" w:ascii="宋体" w:hAnsi="宋体" w:cs="sans-serif"/>
          <w:color w:val="auto"/>
          <w:highlight w:val="none"/>
        </w:rPr>
      </w:pPr>
      <w:r>
        <w:rPr>
          <w:rStyle w:val="894"/>
          <w:rFonts w:hint="eastAsia" w:ascii="宋体" w:hAnsi="宋体" w:cs="宋体"/>
          <w:color w:val="auto"/>
          <w:sz w:val="30"/>
          <w:szCs w:val="30"/>
          <w:highlight w:val="none"/>
        </w:rPr>
        <w:t xml:space="preserve">项目类别：</w:t>
      </w:r>
      <w:r>
        <w:rPr>
          <w:rStyle w:val="894"/>
          <w:rFonts w:hint="eastAsia" w:ascii="宋体" w:hAnsi="宋体" w:cs="宋体"/>
          <w:color w:val="auto"/>
          <w:sz w:val="30"/>
          <w:szCs w:val="30"/>
          <w:highlight w:val="none"/>
          <w:u w:val="single"/>
        </w:rPr>
        <w:t xml:space="preserve">服务类</w:t>
      </w:r>
      <w:r/>
    </w:p>
    <w:p>
      <w:pPr>
        <w:pStyle w:val="892"/>
        <w:spacing w:before="75" w:beforeAutospacing="0" w:after="75" w:afterAutospacing="0" w:line="360" w:lineRule="auto"/>
        <w:widowControl/>
        <w:rPr>
          <w:rStyle w:val="894"/>
          <w:rFonts w:hint="eastAsia" w:ascii="宋体" w:hAnsi="宋体" w:cs="sans-serif"/>
          <w:b w:val="0"/>
          <w:color w:val="auto"/>
          <w:highlight w:val="none"/>
        </w:rPr>
      </w:pPr>
      <w:r>
        <w:rPr>
          <w:rFonts w:ascii="宋体" w:hAnsi="宋体" w:cs="sans-serif"/>
          <w:color w:val="auto"/>
          <w:highlight w:val="none"/>
        </w:rPr>
        <w:t xml:space="preserve"> </w:t>
      </w:r>
      <w:r/>
    </w:p>
    <w:p>
      <w:pPr>
        <w:pStyle w:val="892"/>
        <w:jc w:val="center"/>
        <w:spacing w:before="75" w:beforeAutospacing="0" w:after="75" w:afterAutospacing="0" w:line="360" w:lineRule="auto"/>
        <w:widowControl/>
        <w:rPr>
          <w:rStyle w:val="894"/>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Style w:val="894"/>
          <w:rFonts w:hint="eastAsia" w:ascii="宋体" w:hAnsi="宋体" w:cs="宋体"/>
          <w:color w:val="auto"/>
          <w:sz w:val="30"/>
          <w:szCs w:val="30"/>
          <w:highlight w:val="none"/>
        </w:rPr>
      </w:pPr>
      <w:r>
        <w:rPr>
          <w:rStyle w:val="894"/>
          <w:rFonts w:hint="eastAsia" w:ascii="宋体" w:hAnsi="宋体" w:cs="宋体"/>
          <w:color w:val="auto"/>
          <w:sz w:val="30"/>
          <w:szCs w:val="30"/>
          <w:highlight w:val="none"/>
        </w:rPr>
        <w:t xml:space="preserve">2025年12月</w:t>
      </w:r>
      <w:r/>
    </w:p>
    <w:p>
      <w:pPr>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 w:val="32"/>
          <w:szCs w:val="32"/>
          <w:highlight w:val="none"/>
        </w:rPr>
      </w:pPr>
      <w:r>
        <w:rPr>
          <w:rFonts w:ascii="宋体" w:hAnsi="宋体"/>
          <w:b/>
          <w:color w:val="auto"/>
          <w:sz w:val="32"/>
          <w:szCs w:val="32"/>
          <w:highlight w:val="none"/>
        </w:rPr>
        <w:br w:type="page" w:clear="all"/>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附表</w:t>
      </w:r>
      <w:r/>
    </w:p>
    <w:tbl>
      <w:tblPr>
        <w:tblStyle w:val="673"/>
        <w:tblW w:w="962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条款号</w:t>
            </w:r>
            <w:r/>
          </w:p>
        </w:tc>
        <w:tc>
          <w:tcPr>
            <w:tcW w:w="8507"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内容规定</w:t>
            </w:r>
            <w:r/>
          </w:p>
        </w:tc>
      </w:tr>
      <w:tr>
        <w:trPr>
          <w:jc w:val="center"/>
          <w:trHeight w:val="465"/>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ascii="宋体" w:hAnsi="宋体"/>
                <w:color w:val="auto"/>
                <w:sz w:val="24"/>
                <w:highlight w:val="none"/>
              </w:rPr>
              <w:t xml:space="preserve">1</w:t>
            </w:r>
            <w:r/>
          </w:p>
        </w:tc>
        <w:tc>
          <w:tcPr>
            <w:tcW w:w="8507" w:type="dxa"/>
            <w:vAlign w:val="center"/>
            <w:textDirection w:val="lrTb"/>
            <w:noWrap w:val="false"/>
          </w:tcPr>
          <w:p>
            <w:pPr>
              <w:spacing w:line="360" w:lineRule="auto"/>
              <w:rPr>
                <w:rFonts w:hint="eastAsia"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rPr>
              <w:t xml:space="preserve">：2026年太湖街道食堂服务项目</w:t>
            </w:r>
            <w:r/>
          </w:p>
        </w:tc>
      </w:tr>
      <w:tr>
        <w:trPr>
          <w:jc w:val="center"/>
          <w:trHeight w:val="466"/>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W w:w="850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p>
        </w:tc>
        <w:tc>
          <w:tcPr>
            <w:tcW w:w="850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磋商保证金：根据《江苏省财政厅文件苏财购【2020】52号》相关规定，本项目无须支付保证金</w:t>
            </w:r>
            <w:r/>
          </w:p>
        </w:tc>
      </w:tr>
      <w:tr>
        <w:trPr>
          <w:jc w:val="center"/>
          <w:trHeight w:val="2355"/>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p>
        </w:tc>
        <w:tc>
          <w:tcPr>
            <w:tcW w:w="850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磋商响应文件：供应商按照采购文件要求制作上传电子响应文件，</w:t>
            </w:r>
            <w:r>
              <w:rPr>
                <w:rFonts w:hint="eastAsia" w:ascii="宋体" w:hAnsi="宋体" w:cs="宋体"/>
                <w:b/>
                <w:color w:val="auto"/>
                <w:sz w:val="24"/>
                <w:szCs w:val="24"/>
                <w:highlight w:val="none"/>
              </w:rPr>
              <w:t xml:space="preserve">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w:t>
            </w:r>
            <w:r/>
          </w:p>
        </w:tc>
      </w:tr>
      <w:tr>
        <w:trPr>
          <w:jc w:val="center"/>
          <w:trHeight w:val="1682"/>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5</w:t>
            </w:r>
            <w:r/>
          </w:p>
        </w:tc>
        <w:tc>
          <w:tcPr>
            <w:tcW w:w="850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截止时间：2025年12月</w:t>
            </w: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rPr>
              <w:t xml:space="preserve">日9:30（北京时间）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磋商时间：2025年12月</w:t>
            </w: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rPr>
              <w:t xml:space="preserve">日9:30（北京时间）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磋商地点：“苏采云”政府采购交易系统网上开标大厅。</w:t>
            </w:r>
            <w:r/>
          </w:p>
          <w:p>
            <w:pPr>
              <w:spacing w:line="360" w:lineRule="auto"/>
              <w:rPr>
                <w:rFonts w:hint="eastAsia" w:ascii="宋体" w:hAnsi="宋体"/>
                <w:color w:val="auto"/>
                <w:sz w:val="24"/>
                <w:highlight w:val="none"/>
              </w:rPr>
            </w:pPr>
            <w:r>
              <w:rPr>
                <w:rFonts w:hint="eastAsia" w:ascii="宋体" w:hAnsi="宋体" w:cs="宋体"/>
                <w:b/>
                <w:color w:val="auto"/>
                <w:sz w:val="24"/>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131"/>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p>
        </w:tc>
        <w:tc>
          <w:tcPr>
            <w:tcW w:w="8507" w:type="dxa"/>
            <w:vAlign w:val="center"/>
            <w:textDirection w:val="lrTb"/>
            <w:noWrap w:val="false"/>
          </w:tcPr>
          <w:p>
            <w:pPr>
              <w:spacing w:line="360" w:lineRule="auto"/>
              <w:rPr>
                <w:rFonts w:hint="eastAsia" w:ascii="宋体" w:hAnsi="宋体" w:cs="Calibri"/>
                <w:color w:val="auto"/>
                <w:sz w:val="24"/>
                <w:highlight w:val="none"/>
              </w:rPr>
            </w:pPr>
            <w:r>
              <w:rPr>
                <w:rFonts w:hint="eastAsia" w:ascii="宋体" w:hAnsi="宋体" w:cs="Calibri"/>
                <w:color w:val="auto"/>
                <w:sz w:val="24"/>
                <w:highlight w:val="none"/>
              </w:rPr>
              <w:t xml:space="preserve">成交服务费：根据【2020年苏州市级政府采购代理服务收费公告信息表（第十二批）】的规定收取成交服务费。领取成交通知书时成交供应商向招标代理机构一次性付清。由成交供应商支付，按照采购预算100万元以内1.5%计算并支付成交服务费。本项目服务费为16650.00元。</w:t>
            </w:r>
            <w:r/>
          </w:p>
          <w:p>
            <w:pPr>
              <w:jc w:val="left"/>
              <w:spacing w:line="360" w:lineRule="auto"/>
              <w:tabs>
                <w:tab w:val="left" w:pos="8930" w:leader="none"/>
                <w:tab w:val="left" w:pos="9306" w:leader="none"/>
              </w:tabs>
              <w:rPr>
                <w:rFonts w:hint="eastAsia" w:ascii="宋体" w:hAnsi="宋体" w:cs="Calibri"/>
                <w:color w:val="auto"/>
                <w:sz w:val="24"/>
                <w:highlight w:val="none"/>
              </w:rPr>
            </w:pPr>
            <w:r>
              <w:rPr>
                <w:rFonts w:hint="eastAsia" w:ascii="宋体" w:hAnsi="宋体" w:cs="Calibri"/>
                <w:color w:val="auto"/>
                <w:sz w:val="24"/>
                <w:highlight w:val="none"/>
              </w:rPr>
              <w:t xml:space="preserve">账户名称：鼎信工程咨询（苏州）有限公司 </w:t>
            </w:r>
            <w:r/>
          </w:p>
          <w:p>
            <w:pPr>
              <w:jc w:val="left"/>
              <w:spacing w:line="360" w:lineRule="auto"/>
              <w:tabs>
                <w:tab w:val="left" w:pos="8930" w:leader="none"/>
                <w:tab w:val="left" w:pos="9306" w:leader="none"/>
              </w:tabs>
              <w:rPr>
                <w:rFonts w:hint="eastAsia" w:ascii="宋体" w:hAnsi="宋体" w:cs="Calibri"/>
                <w:color w:val="auto"/>
                <w:sz w:val="24"/>
                <w:highlight w:val="none"/>
              </w:rPr>
            </w:pPr>
            <w:r>
              <w:rPr>
                <w:rFonts w:hint="eastAsia" w:ascii="宋体" w:hAnsi="宋体" w:cs="Calibri"/>
                <w:color w:val="auto"/>
                <w:sz w:val="24"/>
                <w:highlight w:val="none"/>
              </w:rPr>
              <w:t xml:space="preserve">开户银行：中国农业银行股份有限公司苏州吴中开发区支行 </w:t>
            </w:r>
            <w:r/>
          </w:p>
          <w:p>
            <w:pPr>
              <w:jc w:val="left"/>
              <w:spacing w:line="360" w:lineRule="auto"/>
              <w:tabs>
                <w:tab w:val="left" w:pos="8930" w:leader="none"/>
                <w:tab w:val="left" w:pos="9306" w:leader="none"/>
              </w:tabs>
              <w:rPr>
                <w:rFonts w:hint="eastAsia" w:ascii="宋体" w:hAnsi="宋体" w:cs="Calibri"/>
                <w:color w:val="auto"/>
                <w:sz w:val="24"/>
                <w:highlight w:val="none"/>
              </w:rPr>
            </w:pPr>
            <w:r>
              <w:rPr>
                <w:rFonts w:hint="eastAsia" w:ascii="宋体" w:hAnsi="宋体" w:cs="Calibri"/>
                <w:color w:val="auto"/>
                <w:sz w:val="24"/>
                <w:highlight w:val="none"/>
              </w:rPr>
              <w:t xml:space="preserve">账号：10541201040081556</w:t>
            </w:r>
            <w:r/>
          </w:p>
        </w:tc>
      </w:tr>
      <w:tr>
        <w:trPr>
          <w:jc w:val="center"/>
          <w:trHeight w:val="579"/>
        </w:trPr>
        <w:tc>
          <w:tcPr>
            <w:tcW w:w="112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7</w:t>
            </w:r>
            <w:r/>
          </w:p>
        </w:tc>
        <w:tc>
          <w:tcPr>
            <w:tcW w:w="8507" w:type="dxa"/>
            <w:vAlign w:val="center"/>
            <w:textDirection w:val="lrTb"/>
            <w:noWrap w:val="false"/>
          </w:tcPr>
          <w:p>
            <w:pPr>
              <w:spacing w:line="360" w:lineRule="auto"/>
              <w:rPr>
                <w:rFonts w:hint="eastAsia" w:ascii="宋体" w:hAnsi="宋体" w:cs="Calibri"/>
                <w:color w:val="auto"/>
                <w:sz w:val="24"/>
                <w:highlight w:val="none"/>
              </w:rPr>
            </w:pPr>
            <w:r>
              <w:rPr>
                <w:rFonts w:hint="eastAsia" w:ascii="宋体" w:hAnsi="宋体" w:cs="宋体"/>
                <w:color w:val="auto"/>
                <w:sz w:val="24"/>
                <w:highlight w:val="none"/>
                <w:lang w:eastAsia="zh-CN"/>
              </w:rPr>
              <w:t xml:space="preserve">苏州太湖新城吴中管理委员会党政办公室监管电话：（0512）65169307</w:t>
            </w:r>
            <w:r>
              <w:rPr>
                <w:rFonts w:hint="eastAsia" w:ascii="宋体" w:hAnsi="宋体" w:cs="宋体"/>
                <w:color w:val="auto"/>
                <w:sz w:val="24"/>
                <w:highlight w:val="none"/>
              </w:rPr>
              <w:t xml:space="preserve">。</w:t>
            </w:r>
            <w:r/>
          </w:p>
        </w:tc>
      </w:tr>
    </w:tbl>
    <w:p>
      <w:pPr>
        <w:spacing w:line="360" w:lineRule="auto"/>
        <w:rPr>
          <w:rFonts w:hint="eastAsia" w:ascii="宋体" w:hAnsi="宋体"/>
          <w:b/>
          <w:color w:val="auto"/>
          <w:sz w:val="52"/>
          <w:szCs w:val="52"/>
          <w:highlight w:val="none"/>
        </w:rPr>
      </w:pPr>
      <w:r>
        <w:rPr>
          <w:rFonts w:ascii="宋体" w:hAnsi="宋体"/>
          <w:b/>
          <w:color w:val="auto"/>
          <w:sz w:val="52"/>
          <w:szCs w:val="52"/>
          <w:highlight w:val="none"/>
        </w:rPr>
        <w:br w:type="page" w:clear="all"/>
      </w:r>
      <w:r/>
    </w:p>
    <w:p>
      <w:pPr>
        <w:pStyle w:val="665"/>
        <w:spacing w:line="360" w:lineRule="auto"/>
        <w:rPr>
          <w:color w:val="auto"/>
          <w:highlight w:val="none"/>
        </w:rPr>
      </w:pPr>
      <w:r>
        <w:rPr>
          <w:color w:val="auto"/>
          <w:highlight w:val="none"/>
        </w:rPr>
      </w:r>
      <w:r/>
    </w:p>
    <w:p>
      <w:pPr>
        <w:spacing w:line="360" w:lineRule="auto"/>
        <w:tabs>
          <w:tab w:val="left" w:pos="315" w:leader="none"/>
          <w:tab w:val="center" w:pos="4153"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spacing w:line="360" w:lineRule="auto"/>
        <w:tabs>
          <w:tab w:val="left" w:pos="315" w:leader="none"/>
          <w:tab w:val="center" w:pos="4153" w:leader="none"/>
        </w:tabs>
        <w:rPr>
          <w:rFonts w:hint="eastAsia" w:ascii="宋体" w:hAnsi="宋体"/>
          <w:b/>
          <w:color w:val="auto"/>
          <w:sz w:val="52"/>
          <w:szCs w:val="52"/>
          <w:highlight w:val="none"/>
        </w:rPr>
      </w:pPr>
      <w:r>
        <w:rPr>
          <w:rFonts w:hint="eastAsia" w:ascii="宋体" w:hAnsi="宋体"/>
          <w:b/>
          <w:color w:val="auto"/>
          <w:sz w:val="52"/>
          <w:szCs w:val="52"/>
          <w:highlight w:val="none"/>
        </w:rPr>
        <w:t xml:space="preserve">目    录</w:t>
      </w:r>
      <w:r/>
    </w:p>
    <w:p>
      <w:pPr>
        <w:jc w:val="center"/>
        <w:spacing w:line="360" w:lineRule="auto"/>
        <w:tabs>
          <w:tab w:val="left" w:pos="315" w:leader="none"/>
          <w:tab w:val="center" w:pos="4153"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ind w:firstLine="880"/>
        <w:spacing w:line="360" w:lineRule="auto"/>
        <w:tabs>
          <w:tab w:val="left" w:pos="315" w:leader="none"/>
          <w:tab w:val="center" w:pos="4153" w:leader="none"/>
        </w:tabs>
        <w:rPr>
          <w:rFonts w:hint="eastAsia" w:ascii="宋体" w:hAnsi="宋体"/>
          <w:color w:val="auto"/>
          <w:sz w:val="44"/>
          <w:szCs w:val="44"/>
          <w:highlight w:val="none"/>
        </w:rPr>
      </w:pPr>
      <w:r>
        <w:rPr>
          <w:rFonts w:hint="eastAsia" w:ascii="宋体" w:hAnsi="宋体"/>
          <w:color w:val="auto"/>
          <w:sz w:val="44"/>
          <w:szCs w:val="44"/>
          <w:highlight w:val="none"/>
        </w:rPr>
        <w:t xml:space="preserve">一、磋商公告</w:t>
      </w:r>
      <w:r/>
    </w:p>
    <w:p>
      <w:pPr>
        <w:ind w:firstLine="880"/>
        <w:spacing w:line="360" w:lineRule="auto"/>
        <w:tabs>
          <w:tab w:val="left" w:pos="315" w:leader="none"/>
          <w:tab w:val="center" w:pos="4153" w:leader="none"/>
        </w:tabs>
        <w:rPr>
          <w:rFonts w:hint="eastAsia" w:ascii="宋体" w:hAnsi="宋体"/>
          <w:color w:val="auto"/>
          <w:sz w:val="44"/>
          <w:szCs w:val="44"/>
          <w:highlight w:val="none"/>
        </w:rPr>
      </w:pPr>
      <w:r>
        <w:rPr>
          <w:rFonts w:hint="eastAsia" w:ascii="宋体" w:hAnsi="宋体"/>
          <w:color w:val="auto"/>
          <w:sz w:val="44"/>
          <w:szCs w:val="44"/>
          <w:highlight w:val="none"/>
        </w:rPr>
        <w:t xml:space="preserve">二、磋商须知</w:t>
      </w:r>
      <w:r/>
    </w:p>
    <w:p>
      <w:pPr>
        <w:ind w:firstLine="880"/>
        <w:spacing w:line="360" w:lineRule="auto"/>
        <w:tabs>
          <w:tab w:val="left" w:pos="315" w:leader="none"/>
          <w:tab w:val="center" w:pos="4153" w:leader="none"/>
        </w:tabs>
        <w:rPr>
          <w:rFonts w:hint="eastAsia" w:ascii="宋体" w:hAnsi="宋体"/>
          <w:color w:val="auto"/>
          <w:sz w:val="44"/>
          <w:szCs w:val="44"/>
          <w:highlight w:val="none"/>
        </w:rPr>
      </w:pPr>
      <w:r>
        <w:rPr>
          <w:rFonts w:hint="eastAsia" w:ascii="宋体" w:hAnsi="宋体"/>
          <w:color w:val="auto"/>
          <w:sz w:val="44"/>
          <w:szCs w:val="44"/>
          <w:highlight w:val="none"/>
        </w:rPr>
        <w:t xml:space="preserve">三、采购内容</w:t>
      </w:r>
      <w:r/>
    </w:p>
    <w:p>
      <w:pPr>
        <w:ind w:firstLine="880"/>
        <w:spacing w:line="360" w:lineRule="auto"/>
        <w:tabs>
          <w:tab w:val="left" w:pos="315" w:leader="none"/>
          <w:tab w:val="center" w:pos="4153" w:leader="none"/>
        </w:tabs>
        <w:rPr>
          <w:rFonts w:hint="eastAsia" w:ascii="宋体" w:hAnsi="宋体"/>
          <w:color w:val="auto"/>
          <w:sz w:val="44"/>
          <w:szCs w:val="44"/>
          <w:highlight w:val="none"/>
        </w:rPr>
      </w:pPr>
      <w:r>
        <w:rPr>
          <w:rFonts w:hint="eastAsia" w:ascii="宋体" w:hAnsi="宋体"/>
          <w:color w:val="auto"/>
          <w:sz w:val="44"/>
          <w:szCs w:val="44"/>
          <w:highlight w:val="none"/>
        </w:rPr>
        <w:t xml:space="preserve">四、评审方法及评分标准</w:t>
      </w:r>
      <w:r/>
    </w:p>
    <w:p>
      <w:pPr>
        <w:ind w:firstLine="880"/>
        <w:spacing w:line="360" w:lineRule="auto"/>
        <w:tabs>
          <w:tab w:val="left" w:pos="315" w:leader="none"/>
          <w:tab w:val="center" w:pos="4153" w:leader="none"/>
        </w:tabs>
        <w:rPr>
          <w:rFonts w:hint="eastAsia" w:ascii="宋体" w:hAnsi="宋体"/>
          <w:color w:val="auto"/>
          <w:sz w:val="44"/>
          <w:szCs w:val="44"/>
          <w:highlight w:val="none"/>
        </w:rPr>
      </w:pPr>
      <w:r>
        <w:rPr>
          <w:rFonts w:hint="eastAsia" w:ascii="宋体" w:hAnsi="宋体"/>
          <w:color w:val="auto"/>
          <w:sz w:val="44"/>
          <w:szCs w:val="44"/>
          <w:highlight w:val="none"/>
        </w:rPr>
        <w:t xml:space="preserve">五、合同主要条款及格式</w:t>
      </w:r>
      <w:r/>
    </w:p>
    <w:p>
      <w:pPr>
        <w:ind w:firstLine="880"/>
        <w:spacing w:line="360" w:lineRule="auto"/>
        <w:rPr>
          <w:rFonts w:hint="eastAsia" w:ascii="宋体" w:hAnsi="宋体"/>
          <w:color w:val="auto"/>
          <w:sz w:val="30"/>
          <w:highlight w:val="none"/>
        </w:rPr>
      </w:pPr>
      <w:r>
        <w:rPr>
          <w:rFonts w:hint="eastAsia" w:ascii="宋体" w:hAnsi="宋体"/>
          <w:color w:val="auto"/>
          <w:sz w:val="44"/>
          <w:szCs w:val="44"/>
          <w:highlight w:val="none"/>
        </w:rPr>
        <w:t xml:space="preserve">六、磋商响应文件格式</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Style w:val="894"/>
          <w:rFonts w:hint="eastAsia" w:ascii="宋体" w:hAnsi="宋体" w:cs="宋体"/>
          <w:color w:val="auto"/>
          <w:sz w:val="43"/>
          <w:szCs w:val="43"/>
          <w:highlight w:val="none"/>
        </w:rPr>
      </w:pPr>
      <w:r>
        <w:rPr>
          <w:rStyle w:val="894"/>
          <w:rFonts w:ascii="宋体" w:hAnsi="宋体" w:cs="宋体"/>
          <w:color w:val="auto"/>
          <w:sz w:val="43"/>
          <w:szCs w:val="43"/>
          <w:highlight w:val="none"/>
        </w:rPr>
        <w:br w:type="page" w:clear="all"/>
      </w:r>
      <w:r/>
    </w:p>
    <w:p>
      <w:pPr>
        <w:jc w:val="center"/>
        <w:spacing w:line="360" w:lineRule="auto"/>
        <w:widowControl/>
        <w:rPr>
          <w:rFonts w:hint="eastAsia" w:ascii="宋体" w:hAnsi="宋体"/>
          <w:color w:val="auto"/>
          <w:sz w:val="24"/>
          <w:highlight w:val="none"/>
        </w:rPr>
      </w:pPr>
      <w:r>
        <w:rPr>
          <w:rStyle w:val="894"/>
          <w:rFonts w:hint="eastAsia" w:ascii="宋体" w:hAnsi="宋体" w:cs="宋体"/>
          <w:color w:val="auto"/>
          <w:sz w:val="43"/>
          <w:szCs w:val="43"/>
          <w:highlight w:val="none"/>
        </w:rPr>
        <w:t xml:space="preserve">第一章 磋商公告</w:t>
      </w:r>
      <w:r/>
    </w:p>
    <w:p>
      <w:pPr>
        <w:ind w:firstLine="480"/>
        <w:spacing w:line="360" w:lineRule="auto"/>
        <w:rPr>
          <w:rFonts w:hint="eastAsia"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rPr>
        <w:t xml:space="preserve">项目概况</w:t>
      </w:r>
      <w:r/>
    </w:p>
    <w:p>
      <w:pPr>
        <w:ind w:firstLine="480"/>
        <w:spacing w:line="360" w:lineRule="auto"/>
        <w:rPr>
          <w:rFonts w:hint="eastAsia"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rPr>
        <w:t xml:space="preserve">2026年太湖街道食堂服务项目</w:t>
      </w:r>
      <w:r>
        <w:rPr>
          <w:rFonts w:hint="eastAsia" w:ascii="宋体" w:hAnsi="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“苏采云”政府采购交易系统（以下简称苏采云系统”）</w:t>
      </w:r>
      <w:r>
        <w:rPr>
          <w:rFonts w:hint="eastAsia" w:ascii="宋体" w:hAnsi="宋体"/>
          <w:color w:val="auto"/>
          <w:sz w:val="24"/>
          <w:highlight w:val="none"/>
        </w:rPr>
        <w:t xml:space="preserve">获取招标文件，并于</w:t>
      </w:r>
      <w:r>
        <w:rPr>
          <w:rFonts w:hint="eastAsia" w:ascii="宋体" w:hAnsi="宋体"/>
          <w:color w:val="auto"/>
          <w:sz w:val="24"/>
          <w:highlight w:val="none"/>
          <w:u w:val="single"/>
        </w:rPr>
        <w:t xml:space="preserve">2025年12月</w:t>
      </w:r>
      <w:r>
        <w:rPr>
          <w:rFonts w:hint="eastAsia" w:ascii="宋体" w:hAnsi="宋体"/>
          <w:color w:val="auto"/>
          <w:sz w:val="24"/>
          <w:highlight w:val="none"/>
          <w:u w:val="single"/>
        </w:rPr>
        <w:t xml:space="preserve">17</w:t>
      </w:r>
      <w:r>
        <w:rPr>
          <w:rFonts w:hint="eastAsia" w:ascii="宋体" w:hAnsi="宋体"/>
          <w:color w:val="auto"/>
          <w:sz w:val="24"/>
          <w:highlight w:val="none"/>
          <w:u w:val="single"/>
        </w:rPr>
        <w:t xml:space="preserve">日9:30</w:t>
      </w:r>
      <w:r>
        <w:rPr>
          <w:rFonts w:hint="eastAsia" w:ascii="宋体" w:hAnsi="宋体"/>
          <w:bCs/>
          <w:color w:val="auto"/>
          <w:sz w:val="24"/>
          <w:highlight w:val="none"/>
        </w:rPr>
        <w:t xml:space="preserve">（北京时间）前递交响应文件</w:t>
      </w:r>
      <w:r>
        <w:rPr>
          <w:rFonts w:hint="eastAsia" w:ascii="宋体" w:hAnsi="宋体"/>
          <w:color w:val="auto"/>
          <w:sz w:val="24"/>
          <w:highlight w:val="none"/>
        </w:rPr>
        <w:t xml:space="preserve">。</w:t>
      </w:r>
      <w:r/>
    </w:p>
    <w:p>
      <w:pPr>
        <w:spacing w:line="360" w:lineRule="auto"/>
        <w:rPr>
          <w:rFonts w:hint="eastAsia" w:ascii="宋体" w:hAnsi="宋体" w:cs="宋体"/>
          <w:b/>
          <w:color w:val="auto"/>
          <w:sz w:val="24"/>
          <w:highlight w:val="none"/>
        </w:rPr>
      </w:pPr>
      <w:r/>
      <w:bookmarkStart w:id="0" w:name="_Toc28359079"/>
      <w:r/>
      <w:bookmarkStart w:id="1" w:name="_Toc28359002"/>
      <w:r/>
      <w:bookmarkStart w:id="2" w:name="_Toc35393621"/>
      <w:r/>
      <w:bookmarkStart w:id="3" w:name="_Toc35393790"/>
      <w:r/>
      <w:bookmarkStart w:id="4" w:name="_Hlk24379207"/>
      <w:r>
        <w:rPr>
          <w:rFonts w:hint="eastAsia" w:ascii="宋体" w:hAnsi="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项目编号：JSZC-320506-SZDX-C2025-0020</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项目名称：2026年太湖街道食堂服务项目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采购方式：竞争性磋商</w:t>
      </w:r>
      <w:bookmarkEnd w:id="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预算金额：壹佰壹拾伍万元整（￥1150000.00）</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最高限价（如有）：/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bookmarkStart w:id="5" w:name="OLE_LINK3"/>
      <w:r>
        <w:rPr>
          <w:rFonts w:hint="eastAsia" w:ascii="宋体" w:hAnsi="宋体"/>
          <w:color w:val="auto"/>
          <w:sz w:val="24"/>
          <w:highlight w:val="none"/>
        </w:rPr>
        <w:t xml:space="preserve">详见采购文件第三章</w:t>
      </w:r>
      <w:bookmarkEnd w:id="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合同履行期限：一年（具体时间以甲方通知为准）</w:t>
      </w:r>
      <w:bookmarkStart w:id="6" w:name="_Toc28359090"/>
      <w:r/>
      <w:bookmarkStart w:id="7" w:name="_Toc35393799"/>
      <w:r/>
      <w:bookmarkStart w:id="8" w:name="_Toc28359013"/>
      <w:r/>
      <w:bookmarkStart w:id="9" w:name="_Toc35393630"/>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本项目（是/否）接受联合体：否</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ind w:firstLine="480"/>
        <w:spacing w:line="360" w:lineRule="auto"/>
        <w:rPr>
          <w:rFonts w:hint="eastAsia" w:ascii="宋体" w:hAnsi="宋体"/>
          <w:color w:val="auto"/>
          <w:sz w:val="24"/>
          <w:highlight w:val="none"/>
        </w:rPr>
      </w:pPr>
      <w:r/>
      <w:bookmarkStart w:id="10" w:name="_Toc28359003"/>
      <w:r>
        <w:rPr>
          <w:rFonts w:hint="eastAsia" w:ascii="宋体" w:hAnsi="宋体"/>
          <w:color w:val="auto"/>
          <w:sz w:val="24"/>
          <w:highlight w:val="none"/>
        </w:rPr>
        <w:t xml:space="preserve">1.具有独立承担民事责任的能力；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2.具有良好的商业信誉和健全的财务会计制度；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3.具有履行合同所必需的设备和专业技术能力；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4.有依法缴纳税收和社会保障资金的良好记录；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6.法律、行政法规规定的其他条件；</w:t>
      </w:r>
      <w:bookmarkEnd w:id="10"/>
      <w:r/>
      <w:bookmarkStart w:id="11" w:name="_Toc28359014"/>
      <w:r/>
      <w:bookmarkStart w:id="12" w:name="_Toc2835909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（二）</w:t>
      </w:r>
      <w:r>
        <w:rPr>
          <w:rFonts w:hint="eastAsia" w:ascii="宋体" w:hAnsi="宋体" w:cs="宋体"/>
          <w:bCs/>
          <w:color w:val="auto"/>
          <w:sz w:val="24"/>
          <w:highlight w:val="none"/>
        </w:rPr>
        <w:t xml:space="preserve">落实政府采购政策需满足的资格要求：根据《政府采购促进中小企业发展管理办法》的相关规定，本项目专门面向中小企业，所属行业为</w:t>
      </w:r>
      <w:r>
        <w:rPr>
          <w:rFonts w:hint="eastAsia" w:ascii="宋体" w:hAnsi="宋体" w:cs="宋体"/>
          <w:b/>
          <w:color w:val="auto"/>
          <w:sz w:val="24"/>
          <w:highlight w:val="none"/>
        </w:rPr>
        <w:t xml:space="preserve">餐饮业</w:t>
      </w:r>
      <w:r>
        <w:rPr>
          <w:rFonts w:hint="eastAsia" w:ascii="宋体" w:hAnsi="宋体" w:cs="宋体"/>
          <w:bCs/>
          <w:color w:val="auto"/>
          <w:sz w:val="24"/>
          <w:highlight w:val="none"/>
        </w:rPr>
        <w:t xml:space="preserve">，供应商应为中小微企业、监狱企业、残疾人福利性单位。</w:t>
      </w:r>
      <w:r/>
    </w:p>
    <w:p>
      <w:pPr>
        <w:ind w:firstLine="480"/>
        <w:spacing w:line="360" w:lineRule="auto"/>
        <w:rPr>
          <w:rFonts w:hint="eastAsia" w:ascii="宋体" w:hAnsi="宋体"/>
          <w:color w:val="auto"/>
          <w:sz w:val="24"/>
          <w:highlight w:val="none"/>
        </w:rPr>
      </w:pPr>
      <w:r/>
      <w:bookmarkStart w:id="13" w:name="_Toc35393631"/>
      <w:r/>
      <w:bookmarkStart w:id="14" w:name="_Toc35393800"/>
      <w:r>
        <w:rPr>
          <w:rFonts w:hint="eastAsia" w:ascii="宋体" w:hAnsi="宋体"/>
          <w:color w:val="auto"/>
          <w:sz w:val="24"/>
          <w:highlight w:val="none"/>
        </w:rPr>
        <w:t xml:space="preserve">（三）本项目的特定资格要求：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2.</w:t>
      </w:r>
      <w:bookmarkStart w:id="15" w:name="OLE_LINK4"/>
      <w:r>
        <w:rPr>
          <w:rFonts w:hint="eastAsia" w:ascii="宋体" w:hAnsi="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5"/>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三、获取采购文件</w:t>
      </w:r>
      <w:bookmarkEnd w:id="11"/>
      <w:r/>
      <w:bookmarkEnd w:id="12"/>
      <w:r/>
      <w:bookmarkEnd w:id="13"/>
      <w:r/>
      <w:bookmarkEnd w:id="14"/>
      <w:r/>
      <w:r/>
    </w:p>
    <w:p>
      <w:pPr>
        <w:ind w:firstLine="480"/>
        <w:spacing w:line="360" w:lineRule="auto"/>
        <w:rPr>
          <w:color w:val="auto"/>
          <w:highlight w:val="none"/>
        </w:rPr>
      </w:pPr>
      <w:r/>
      <w:bookmarkStart w:id="16" w:name="_Toc28359015"/>
      <w:r/>
      <w:bookmarkStart w:id="17" w:name="_Toc35393801"/>
      <w:r/>
      <w:bookmarkStart w:id="18" w:name="_Toc28359092"/>
      <w:r/>
      <w:bookmarkStart w:id="19" w:name="_Toc35393632"/>
      <w:r>
        <w:rPr>
          <w:rFonts w:hint="eastAsia" w:ascii="宋体" w:hAnsi="宋体" w:cs="宋体"/>
          <w:color w:val="auto"/>
          <w:sz w:val="24"/>
          <w:highlight w:val="none"/>
        </w:rPr>
        <w:t xml:space="preserve">时间：自公告发布之日起5个工作日</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地点：“苏采云”政府采购交易系统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方式</w:t>
      </w:r>
      <w:r>
        <w:rPr>
          <w:rFonts w:hint="eastAsia" w:ascii="宋体" w:hAnsi="宋体" w:cs="宋体"/>
          <w:bCs/>
          <w:color w:val="auto"/>
          <w:sz w:val="24"/>
          <w:highlight w:val="none"/>
        </w:rPr>
        <w:t xml:space="preserve">：</w:t>
      </w:r>
      <w:r>
        <w:rPr>
          <w:rFonts w:hint="eastAsia" w:ascii="宋体" w:hAnsi="宋体" w:cs="宋体"/>
          <w:color w:val="auto"/>
          <w:sz w:val="24"/>
          <w:szCs w:val="24"/>
          <w:highlight w:val="none"/>
        </w:rPr>
        <w:t xml:space="preserve">线上获取</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szCs w:val="24"/>
          <w:highlight w:val="none"/>
        </w:rPr>
        <w:t xml:space="preserve">售价：0.00</w:t>
      </w:r>
      <w:bookmarkEnd w:id="16"/>
      <w:r/>
      <w:bookmarkEnd w:id="17"/>
      <w:r/>
      <w:bookmarkEnd w:id="18"/>
      <w:r/>
      <w:bookmarkEnd w:id="19"/>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四、响应文件提交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截止时间：2025年12月</w:t>
      </w:r>
      <w:r>
        <w:rPr>
          <w:rFonts w:hint="eastAsia" w:ascii="宋体" w:hAnsi="宋体" w:cs="宋体"/>
          <w:color w:val="auto"/>
          <w:sz w:val="24"/>
          <w:highlight w:val="none"/>
        </w:rPr>
        <w:t xml:space="preserve">17</w:t>
      </w:r>
      <w:r>
        <w:rPr>
          <w:rFonts w:hint="eastAsia" w:ascii="宋体" w:hAnsi="宋体" w:cs="宋体"/>
          <w:color w:val="auto"/>
          <w:sz w:val="24"/>
          <w:highlight w:val="none"/>
        </w:rPr>
        <w:t xml:space="preserve">日9:30（北京时间）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地点：“苏采云”政府采购交易系统</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五、开启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时间：2025年12月</w:t>
      </w:r>
      <w:r>
        <w:rPr>
          <w:rFonts w:hint="eastAsia" w:ascii="宋体" w:hAnsi="宋体" w:cs="宋体"/>
          <w:color w:val="auto"/>
          <w:sz w:val="24"/>
          <w:highlight w:val="none"/>
        </w:rPr>
        <w:t xml:space="preserve">17</w:t>
      </w:r>
      <w:r>
        <w:rPr>
          <w:rFonts w:hint="eastAsia" w:ascii="宋体" w:hAnsi="宋体" w:cs="宋体"/>
          <w:color w:val="auto"/>
          <w:sz w:val="24"/>
          <w:highlight w:val="none"/>
        </w:rPr>
        <w:t xml:space="preserve">日9:30 （北京时间）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地点：“苏采云”政府采购交易系统</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六、公告期限</w:t>
      </w:r>
      <w:r/>
    </w:p>
    <w:p>
      <w:pPr>
        <w:ind w:firstLine="480"/>
        <w:spacing w:line="360" w:lineRule="auto"/>
        <w:rPr>
          <w:rFonts w:hint="eastAsia" w:ascii="宋体" w:hAnsi="宋体"/>
          <w:bCs/>
          <w:color w:val="auto"/>
          <w:sz w:val="24"/>
          <w:highlight w:val="none"/>
          <w:u w:val="single"/>
        </w:rPr>
      </w:pPr>
      <w:r>
        <w:rPr>
          <w:rFonts w:hint="eastAsia" w:ascii="宋体" w:hAnsi="宋体" w:cs="宋体"/>
          <w:color w:val="auto"/>
          <w:sz w:val="24"/>
          <w:highlight w:val="none"/>
        </w:rPr>
        <w:t xml:space="preserve">自本公告发布之日起3个工作日。</w:t>
      </w:r>
      <w:r/>
    </w:p>
    <w:p>
      <w:pPr>
        <w:spacing w:line="360" w:lineRule="auto"/>
        <w:rPr>
          <w:rFonts w:hint="eastAsia" w:ascii="宋体" w:hAnsi="宋体" w:cs="宋体"/>
          <w:b/>
          <w:color w:val="auto"/>
          <w:sz w:val="24"/>
          <w:highlight w:val="none"/>
        </w:rPr>
      </w:pPr>
      <w:r/>
      <w:bookmarkStart w:id="20" w:name="_Toc35393804"/>
      <w:r/>
      <w:bookmarkStart w:id="21" w:name="_Toc35393635"/>
      <w:r>
        <w:rPr>
          <w:rFonts w:hint="eastAsia" w:ascii="宋体" w:hAnsi="宋体" w:cs="宋体"/>
          <w:b/>
          <w:color w:val="auto"/>
          <w:sz w:val="24"/>
          <w:highlight w:val="none"/>
        </w:rPr>
        <w:t xml:space="preserve">七、其他补充事宜</w:t>
      </w:r>
      <w:bookmarkEnd w:id="20"/>
      <w:r/>
      <w:bookmarkEnd w:id="21"/>
      <w:r/>
      <w:r/>
    </w:p>
    <w:p>
      <w:pPr>
        <w:ind w:firstLine="480"/>
        <w:spacing w:line="360" w:lineRule="auto"/>
        <w:rPr>
          <w:rFonts w:hint="eastAsia" w:ascii="宋体" w:hAnsi="宋体" w:cs="宋体"/>
          <w:color w:val="auto"/>
          <w:sz w:val="24"/>
          <w:highlight w:val="none"/>
        </w:rPr>
      </w:pPr>
      <w:r/>
      <w:bookmarkStart w:id="22" w:name="_Toc28359095"/>
      <w:r/>
      <w:bookmarkStart w:id="23" w:name="_Toc35393805"/>
      <w:r/>
      <w:bookmarkStart w:id="24" w:name="_Toc28359018"/>
      <w:r/>
      <w:bookmarkStart w:id="25" w:name="_Toc35393636"/>
      <w:r>
        <w:rPr>
          <w:rFonts w:hint="eastAsia" w:ascii="宋体" w:hAnsi="宋体" w:cs="宋体"/>
          <w:color w:val="auto"/>
          <w:sz w:val="24"/>
          <w:highlight w:val="none"/>
        </w:rPr>
        <w:t xml:space="preserve">1、本公告同时在江苏政府采购网、苏州市政府采购网发布。</w:t>
      </w:r>
      <w:r>
        <w:rPr>
          <w:rFonts w:hint="eastAsia" w:ascii="宋体" w:hAnsi="宋体" w:cs="宋体"/>
          <w:color w:val="auto"/>
          <w:sz w:val="24"/>
          <w:highlight w:val="none"/>
          <w:lang w:eastAsia="zh-CN"/>
        </w:rPr>
        <w:t xml:space="preserve">苏州太湖新城吴中管理委员会党政办公室监管电话：（0512）65169307</w:t>
      </w:r>
      <w:r>
        <w:rPr>
          <w:rFonts w:hint="eastAsia" w:ascii="宋体" w:hAnsi="宋体" w:cs="宋体"/>
          <w:color w:val="auto"/>
          <w:sz w:val="24"/>
          <w:highlight w:val="none"/>
        </w:rPr>
        <w:t xml:space="preserve">。</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4、本项目支持政府采购合同信用融资。</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八、凡对本次采购提出询问，请按</w:t>
      </w:r>
      <w:r>
        <w:rPr>
          <w:rFonts w:ascii="宋体" w:hAnsi="宋体" w:cs="宋体"/>
          <w:b/>
          <w:color w:val="auto"/>
          <w:sz w:val="24"/>
          <w:highlight w:val="none"/>
        </w:rPr>
        <w:t xml:space="preserve">以下方式</w:t>
      </w:r>
      <w:r>
        <w:rPr>
          <w:rFonts w:hint="eastAsia" w:ascii="宋体" w:hAnsi="宋体" w:cs="宋体"/>
          <w:b/>
          <w:color w:val="auto"/>
          <w:sz w:val="24"/>
          <w:highlight w:val="none"/>
        </w:rPr>
        <w:t xml:space="preserve">联系。</w:t>
      </w:r>
      <w:bookmarkEnd w:id="22"/>
      <w:r/>
      <w:bookmarkEnd w:id="23"/>
      <w:r/>
      <w:bookmarkEnd w:id="24"/>
      <w:r/>
      <w:bookmarkEnd w:id="25"/>
      <w:r/>
      <w:r/>
    </w:p>
    <w:p>
      <w:pPr>
        <w:ind w:firstLine="480"/>
        <w:spacing w:line="360" w:lineRule="auto"/>
        <w:rPr>
          <w:rFonts w:hint="eastAsia" w:ascii="宋体" w:hAnsi="宋体" w:cs="宋体"/>
          <w:color w:val="auto"/>
          <w:sz w:val="24"/>
          <w:highlight w:val="none"/>
        </w:rPr>
      </w:pPr>
      <w:r/>
      <w:bookmarkStart w:id="26" w:name="_Toc35393807"/>
      <w:r/>
      <w:bookmarkStart w:id="27" w:name="_Toc35393638"/>
      <w:r/>
      <w:bookmarkStart w:id="28" w:name="_Toc28359097"/>
      <w:r/>
      <w:bookmarkStart w:id="29" w:name="_Toc28359020"/>
      <w:r>
        <w:rPr>
          <w:rFonts w:hint="eastAsia" w:ascii="宋体" w:hAnsi="宋体" w:cs="宋体"/>
          <w:color w:val="auto"/>
          <w:sz w:val="24"/>
          <w:highlight w:val="none"/>
        </w:rPr>
        <w:t xml:space="preserve">1.采购人信息</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olor w:val="auto"/>
          <w:sz w:val="24"/>
          <w:highlight w:val="none"/>
        </w:rPr>
        <w:t xml:space="preserve">苏州市吴中区人民政府太湖街道办事处</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联系地址：苏州市吴中区龙翔路777号</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联系人：席东 </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联系电话：0512-68560020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bookmarkEnd w:id="26"/>
      <w:r/>
      <w:bookmarkEnd w:id="27"/>
      <w:r/>
      <w:bookmarkEnd w:id="28"/>
      <w:r/>
      <w:bookmarkEnd w:id="29"/>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名称：鼎信工程咨询（苏州）有限公司</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地址：苏州市吴中区枫津南路18号南都广场1607</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联系方式：0512-66233886</w:t>
      </w:r>
      <w:r/>
    </w:p>
    <w:p>
      <w:pPr>
        <w:ind w:firstLine="480"/>
        <w:spacing w:line="360" w:lineRule="auto"/>
        <w:rPr>
          <w:rFonts w:hint="eastAsia" w:ascii="宋体" w:hAnsi="宋体" w:cs="宋体"/>
          <w:color w:val="auto"/>
          <w:sz w:val="24"/>
          <w:highlight w:val="none"/>
        </w:rPr>
      </w:pPr>
      <w:r/>
      <w:bookmarkStart w:id="30" w:name="_Toc35393639"/>
      <w:r/>
      <w:bookmarkStart w:id="31" w:name="_Toc35393808"/>
      <w:r/>
      <w:bookmarkStart w:id="32" w:name="_Toc28359021"/>
      <w:r/>
      <w:bookmarkStart w:id="33" w:name="_Toc28359098"/>
      <w:r>
        <w:rPr>
          <w:rFonts w:hint="eastAsia" w:ascii="宋体" w:hAnsi="宋体" w:cs="宋体"/>
          <w:color w:val="auto"/>
          <w:sz w:val="24"/>
          <w:highlight w:val="none"/>
        </w:rPr>
        <w:t xml:space="preserve">3.项目联系</w:t>
      </w:r>
      <w:r>
        <w:rPr>
          <w:rFonts w:ascii="宋体" w:hAnsi="宋体" w:cs="宋体"/>
          <w:color w:val="auto"/>
          <w:sz w:val="24"/>
          <w:highlight w:val="none"/>
        </w:rPr>
        <w:t xml:space="preserve">方式</w:t>
      </w:r>
      <w:bookmarkEnd w:id="30"/>
      <w:r/>
      <w:bookmarkEnd w:id="31"/>
      <w:r/>
      <w:bookmarkEnd w:id="32"/>
      <w:r/>
      <w:bookmarkEnd w:id="33"/>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项目联系人：陈倩倩    电话：0512-66233886</w:t>
      </w:r>
      <w:r/>
    </w:p>
    <w:p>
      <w:pPr>
        <w:jc w:val="center"/>
        <w:spacing w:line="360" w:lineRule="auto"/>
        <w:tabs>
          <w:tab w:val="left" w:pos="8930" w:leader="none"/>
          <w:tab w:val="left" w:pos="9306" w:leader="none"/>
        </w:tabs>
        <w:rPr>
          <w:rFonts w:hint="eastAsia" w:ascii="宋体" w:hAnsi="宋体" w:cs="宋体"/>
          <w:color w:val="auto"/>
          <w:sz w:val="24"/>
          <w:highlight w:val="none"/>
        </w:rPr>
      </w:pPr>
      <w:r>
        <w:rPr>
          <w:rStyle w:val="894"/>
          <w:rFonts w:ascii="宋体" w:hAnsi="宋体" w:cs="宋体"/>
          <w:color w:val="auto"/>
          <w:sz w:val="43"/>
          <w:szCs w:val="43"/>
          <w:highlight w:val="none"/>
        </w:rPr>
        <w:br w:type="page" w:clear="all"/>
      </w:r>
      <w:r>
        <w:rPr>
          <w:rStyle w:val="894"/>
          <w:rFonts w:hint="eastAsia" w:ascii="宋体" w:hAnsi="宋体" w:cs="宋体"/>
          <w:color w:val="auto"/>
          <w:sz w:val="43"/>
          <w:szCs w:val="43"/>
          <w:highlight w:val="none"/>
        </w:rPr>
        <w:t xml:space="preserve">第二章 磋商须知</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A 说明和释义</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1.说明</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1.1本采购文件仅适用于鼎信工程咨询（苏州）有限公司组织的采购活动。</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1.3本采购文件的解释权属于鼎信工程咨询（苏州）有限公司。</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2.词语释义</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2.10天：日历天。</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B 供应商</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3.合格磋商供应商的一般条件</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3.1能够独立承担民事责任的能力（供应商营业执照及法人身份证明文件）；</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3.2具有良好的商业信誉和健全的财务会计制度证明。包括但不限于最近一期经审计的财务报告，其他组织、自然人及成立未满一年的法人应提供银行出具的资信证明；</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3.4有依法缴纳税收和社会保障资金的良好记录（合理期限内依法缴纳税收的凭据，社会保险登记证或依法缴纳社会保险的凭据）；</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3.5参加政府采购活动前三年内，在经营活动中没有重大违法记录（书面声明函）；</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3.6法律、行政法规规定的其他条件；</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3.7合格磋商供应商的特殊条件：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3.7.1单位负责人为同一人或者存在直接控股、管理关系的不同供应商（包含法定代表人为同一个人的两个及两个以上法人，母公司、全资子公司及其控股公司），不得参加同一合同项下的政府采购活动。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highlight w:val="none"/>
        </w:rPr>
      </w:pPr>
      <w:r>
        <w:rPr>
          <w:rFonts w:hint="eastAsia" w:ascii="宋体" w:hAnsi="宋体" w:cs="宋体"/>
          <w:color w:val="auto"/>
          <w:sz w:val="24"/>
          <w:highlight w:val="none"/>
        </w:rPr>
        <w:t xml:space="preserve">3.7.2</w:t>
      </w:r>
      <w:r>
        <w:rPr>
          <w:rFonts w:hint="eastAsia" w:ascii="宋体" w:hAnsi="宋体" w:cs="宋体"/>
          <w:color w:val="auto"/>
          <w:sz w:val="24"/>
          <w:szCs w:val="24"/>
          <w:highlight w:val="none"/>
        </w:rPr>
        <w:t xml:space="preserve">未被列入失信被执行人、重大税收违法案件当事人名单、政府采购严重失信行为记录名单</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4.供应商代表</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5.磋商费用</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6.磋商采购文件</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7.采购文件的修改</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7.1在递交（上传）磋商响应文件截止时间前，采购单位无论出于自己的考虑，还是出</w:t>
      </w:r>
      <w:r>
        <w:rPr>
          <w:rFonts w:hint="eastAsia" w:ascii="宋体" w:hAnsi="宋体" w:cs="宋体"/>
          <w:color w:val="auto"/>
          <w:sz w:val="24"/>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8.采购文件提疑</w:t>
      </w:r>
      <w:r/>
    </w:p>
    <w:p>
      <w:pPr>
        <w:ind w:firstLine="480"/>
        <w:spacing w:line="360" w:lineRule="auto"/>
        <w:tabs>
          <w:tab w:val="left" w:pos="8930" w:leader="none"/>
          <w:tab w:val="left" w:pos="9306"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highlight w:val="none"/>
        </w:rPr>
        <w:t xml:space="preserve">投标供应商确认函</w:t>
      </w:r>
      <w:r>
        <w:rPr>
          <w:rFonts w:hint="eastAsia" w:ascii="宋体" w:hAnsi="宋体" w:cs="宋体"/>
          <w:bCs/>
          <w:color w:val="auto"/>
          <w:sz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8.4.2质疑项目的名称、编号；</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8.4.4事实依据；</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8.4.5必要的法律依据；</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8.4.6提出质疑的日期。</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8.4.7</w:t>
      </w:r>
      <w:r>
        <w:rPr>
          <w:rFonts w:hint="eastAsia" w:ascii="宋体" w:hAnsi="宋体" w:cs="宋体"/>
          <w:bCs/>
          <w:color w:val="auto"/>
          <w:sz w:val="24"/>
          <w:highlight w:val="none"/>
        </w:rPr>
        <w:t xml:space="preserve">供应商参加投标确认函</w:t>
      </w:r>
      <w:r>
        <w:rPr>
          <w:rFonts w:hint="eastAsia" w:ascii="宋体" w:hAnsi="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质疑联系人：陈倩倩</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联系电话：0512-66233886</w:t>
      </w:r>
      <w:r/>
    </w:p>
    <w:p>
      <w:pPr>
        <w:ind w:firstLine="480"/>
        <w:spacing w:line="360" w:lineRule="auto"/>
        <w:tabs>
          <w:tab w:val="left" w:pos="8930" w:leader="none"/>
          <w:tab w:val="left" w:pos="9306"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通讯地址：苏州市吴中区枫津南路18号南都广场1607</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9.提示与要求</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10.响应文件计量单位和使用文字</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11. 响应文件组成（部分格式见第六章）</w:t>
      </w:r>
      <w:r/>
    </w:p>
    <w:p>
      <w:pPr>
        <w:pStyle w:val="874"/>
        <w:ind w:firstLine="48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封面</w:t>
      </w:r>
      <w:r/>
    </w:p>
    <w:p>
      <w:pPr>
        <w:pStyle w:val="874"/>
        <w:ind w:firstLine="48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11.1报价部分</w:t>
      </w:r>
      <w:r/>
    </w:p>
    <w:p>
      <w:pPr>
        <w:pStyle w:val="874"/>
        <w:ind w:firstLine="48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11.1.1开标一览表(按系统内统一格式)；</w:t>
      </w:r>
      <w:r/>
    </w:p>
    <w:p>
      <w:pPr>
        <w:pStyle w:val="874"/>
        <w:ind w:firstLine="48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11.1.2分项报价表；</w:t>
      </w:r>
      <w:r/>
    </w:p>
    <w:p>
      <w:pPr>
        <w:pStyle w:val="874"/>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11.2资格性要求</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11.2.1具有独立承担民事责任的能力证明。包括法人或者其他组织的营业执照等证明文件，自然人的身份证明；</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11.2.2具有良好的商业信誉和健全的财务会计制度证明。包括但不限于最近一期经审计的财务报告，其他组织、自然人及成立未满一年的法人应提供银行出具的资信证明。</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11.2.5参加政府采购活动前三年内，在经营活动中没有重大违法记录的书面声明函；</w:t>
      </w:r>
      <w:r/>
    </w:p>
    <w:p>
      <w:pPr>
        <w:pStyle w:val="890"/>
        <w:ind w:firstLine="480"/>
        <w:rPr>
          <w:rFonts w:hint="eastAsia" w:ascii="宋体" w:hAnsi="宋体" w:cs="宋体"/>
          <w:color w:val="auto"/>
          <w:highlight w:val="none"/>
        </w:rPr>
      </w:pPr>
      <w:r>
        <w:rPr>
          <w:rFonts w:hint="eastAsia" w:ascii="宋体" w:hAnsi="宋体" w:cs="宋体"/>
          <w:color w:val="auto"/>
          <w:highlight w:val="none"/>
        </w:rPr>
        <w:t xml:space="preserve">11.2.6法律、行政法规规定的其他条件；</w:t>
      </w:r>
      <w:r/>
    </w:p>
    <w:p>
      <w:pPr>
        <w:pStyle w:val="874"/>
        <w:ind w:firstLine="480"/>
        <w:spacing w:line="360" w:lineRule="auto"/>
        <w:rPr>
          <w:rFonts w:hint="eastAsia" w:ascii="宋体" w:hAnsi="宋体" w:eastAsia="宋体" w:cs="宋体"/>
          <w:b/>
          <w:bCs/>
          <w:color w:val="auto"/>
          <w:szCs w:val="24"/>
          <w:highlight w:val="none"/>
        </w:rPr>
      </w:pPr>
      <w:r>
        <w:rPr>
          <w:rFonts w:hint="eastAsia" w:ascii="宋体" w:hAnsi="宋体" w:cs="宋体"/>
          <w:color w:val="auto"/>
          <w:szCs w:val="24"/>
          <w:highlight w:val="none"/>
        </w:rPr>
        <w:t xml:space="preserve">11.2.7</w:t>
      </w:r>
      <w:r>
        <w:rPr>
          <w:rFonts w:hint="eastAsia" w:ascii="宋体" w:hAnsi="宋体" w:eastAsia="宋体" w:cs="宋体"/>
          <w:color w:val="auto"/>
          <w:highlight w:val="none"/>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11.2.8未被“信用中国”网站（www.creditchina.gov.cn）列入失信被执行人、重大税收违法案件当事人名单、政府采购严重失信行为记录名单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11.2.9单位负责人为同一人或者存在直接控股、管理关系的不同供应商（包含法定代表人为同一个人的两个及两个以上法人，母公司、全资子公司及其控股公司），不得参加同一合同项下的政府采购活动。</w:t>
      </w:r>
      <w:r/>
    </w:p>
    <w:p>
      <w:pPr>
        <w:pStyle w:val="874"/>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11.3符合性要求</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11.3.1磋商响应函；</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11.3.2关于资格文件的声明函；</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11.3.3磋商响应单位基本情况表；</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11.3.4磋商响应单位《营业执照》副本扫描件；</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11.3.5磋商响应单位法定代表人身份证扫描件；</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11.3.6法定代表人授权委托书及磋商响应单位代理人身份证扫描件（如有授权）；</w:t>
      </w:r>
      <w:r/>
    </w:p>
    <w:p>
      <w:pPr>
        <w:pStyle w:val="8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11.3.7《商务条款偏离表》、《服务要求对照偏离表》；</w:t>
      </w:r>
      <w:r/>
    </w:p>
    <w:p>
      <w:pPr>
        <w:pStyle w:val="874"/>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highlight w:val="none"/>
        </w:rPr>
        <w:t xml:space="preserve">11.3</w:t>
      </w:r>
      <w:r>
        <w:rPr>
          <w:rFonts w:hint="eastAsia" w:ascii="宋体" w:hAnsi="宋体" w:eastAsia="宋体" w:cs="宋体"/>
          <w:b/>
          <w:bCs/>
          <w:color w:val="auto"/>
          <w:szCs w:val="24"/>
          <w:highlight w:val="none"/>
        </w:rPr>
        <w:t xml:space="preserve">综合评标文件</w:t>
      </w:r>
      <w:r/>
    </w:p>
    <w:p>
      <w:pPr>
        <w:pStyle w:val="874"/>
        <w:ind w:firstLine="480"/>
        <w:spacing w:line="360" w:lineRule="auto"/>
        <w:rPr>
          <w:rFonts w:hint="eastAsia" w:ascii="宋体" w:hAnsi="宋体" w:cs="宋体"/>
          <w:b/>
          <w:bCs/>
          <w:color w:val="auto"/>
          <w:highlight w:val="none"/>
        </w:rPr>
      </w:pPr>
      <w:r>
        <w:rPr>
          <w:rFonts w:hint="eastAsia" w:ascii="宋体" w:hAnsi="宋体" w:eastAsia="宋体" w:cs="宋体"/>
          <w:color w:val="auto"/>
          <w:szCs w:val="24"/>
          <w:highlight w:val="none"/>
        </w:rPr>
        <w:t xml:space="preserve">11.3.1其它有关证明文件；</w:t>
      </w:r>
      <w:r/>
    </w:p>
    <w:p>
      <w:pPr>
        <w:pStyle w:val="901"/>
        <w:ind w:firstLine="422"/>
        <w:spacing w:line="360" w:lineRule="auto"/>
        <w:rPr>
          <w:rFonts w:hint="eastAsia" w:ascii="宋体" w:hAnsi="宋体" w:cs="宋体"/>
          <w:b/>
          <w:bCs/>
          <w:color w:val="auto"/>
          <w:szCs w:val="24"/>
          <w:highlight w:val="none"/>
        </w:rPr>
      </w:pPr>
      <w:r>
        <w:rPr>
          <w:rFonts w:hint="eastAsia" w:ascii="宋体" w:hAnsi="宋体" w:eastAsia="宋体" w:cs="宋体"/>
          <w:b/>
          <w:color w:val="auto"/>
          <w:szCs w:val="24"/>
          <w:highlight w:val="none"/>
        </w:rPr>
        <w:t xml:space="preserve">注：</w:t>
      </w:r>
      <w:r>
        <w:rPr>
          <w:rFonts w:hint="eastAsia" w:ascii="宋体" w:hAnsi="宋体" w:eastAsia="宋体" w:cs="宋体"/>
          <w:b/>
          <w:bCs/>
          <w:color w:val="auto"/>
          <w:szCs w:val="24"/>
          <w:highlight w:val="none"/>
        </w:rPr>
        <w:t xml:space="preserve">（1）以上11.2.1-11.2.9为资格审查要求提供的材料，是作为对供应商资格审查、质疑身份认定的依据，响应供应商必须提供并加盖电子公章。否则，磋商响应文件将被认定为不符合资格审查要求。</w:t>
      </w:r>
      <w:r/>
    </w:p>
    <w:p>
      <w:pPr>
        <w:pStyle w:val="901"/>
        <w:spacing w:line="360" w:lineRule="auto"/>
        <w:rPr>
          <w:rFonts w:hint="eastAsia" w:ascii="宋体" w:hAnsi="宋体" w:cs="宋体"/>
          <w:color w:val="auto"/>
          <w:szCs w:val="24"/>
          <w:highlight w:val="none"/>
        </w:rPr>
      </w:pPr>
      <w:r>
        <w:rPr>
          <w:rFonts w:hint="eastAsia" w:ascii="宋体" w:hAnsi="宋体" w:eastAsia="宋体" w:cs="宋体"/>
          <w:b/>
          <w:bCs/>
          <w:color w:val="auto"/>
          <w:szCs w:val="24"/>
          <w:highlight w:val="none"/>
        </w:rPr>
        <w:t xml:space="preserve">（2）以上11.3.1-11.3.7为符合性审查须提供的资料，响应供应商必须提供并加盖电子公章。否则，磋商响应文件将被认定为未实质性响应。</w:t>
      </w:r>
      <w:r/>
    </w:p>
    <w:p>
      <w:pPr>
        <w:pStyle w:val="901"/>
        <w:spacing w:line="360" w:lineRule="auto"/>
        <w:rPr>
          <w:rFonts w:hint="eastAsia" w:ascii="宋体" w:hAnsi="宋体" w:cs="宋体"/>
          <w:b/>
          <w:bCs/>
          <w:color w:val="auto"/>
          <w:szCs w:val="24"/>
          <w:highlight w:val="none"/>
        </w:rPr>
      </w:pPr>
      <w:r>
        <w:rPr>
          <w:rFonts w:hint="eastAsia" w:ascii="宋体" w:hAnsi="宋体" w:eastAsia="宋体" w:cs="宋体"/>
          <w:b/>
          <w:bCs/>
          <w:color w:val="auto"/>
          <w:szCs w:val="24"/>
          <w:highlight w:val="none"/>
        </w:rPr>
        <w:t xml:space="preserve">（3）制作电子响应文件时必须与响应文件制作软件目录一一对应，将相关资料上传至相应模块。</w:t>
      </w:r>
      <w:r/>
    </w:p>
    <w:p>
      <w:pPr>
        <w:pStyle w:val="901"/>
        <w:spacing w:line="360" w:lineRule="auto"/>
        <w:rPr>
          <w:rFonts w:hint="eastAsia" w:ascii="宋体" w:hAnsi="宋体" w:cs="宋体"/>
          <w:bCs/>
          <w:color w:val="auto"/>
          <w:szCs w:val="24"/>
          <w:highlight w:val="none"/>
        </w:rPr>
      </w:pPr>
      <w:r>
        <w:rPr>
          <w:rFonts w:hint="eastAsia" w:ascii="宋体" w:hAnsi="宋体" w:eastAsia="宋体" w:cs="宋体"/>
          <w:b/>
          <w:color w:val="auto"/>
          <w:szCs w:val="24"/>
          <w:highlight w:val="none"/>
        </w:rPr>
        <w:t xml:space="preserve">（4）磋商响应文件编制要求：</w:t>
      </w:r>
      <w:r>
        <w:rPr>
          <w:rFonts w:hint="eastAsia" w:ascii="宋体" w:hAnsi="宋体" w:eastAsia="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 </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12.报价（编制）要求的说明</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12.1除非合同中另有规定，供应商对全部货物和服务的报价应包括但不限于完成本次服务项目所需的人员（包括工资和补贴）、设备、材料、备用仪器设备投入、检测、保险、劳保、管理、验收、各种税费、利润、税金、政策性文件规定及合同包含的所有风险、责任等各项应有费用。</w:t>
      </w:r>
      <w:r>
        <w:rPr>
          <w:rFonts w:hint="eastAsia" w:ascii="宋体" w:hAnsi="宋体"/>
          <w:color w:val="auto"/>
          <w:sz w:val="24"/>
          <w:highlight w:val="none"/>
        </w:rPr>
        <w:t xml:space="preserve">其他均不再另行计费</w:t>
      </w:r>
      <w:r>
        <w:rPr>
          <w:rFonts w:ascii="宋体" w:hAnsi="宋体"/>
          <w:color w:val="auto"/>
          <w:sz w:val="24"/>
          <w:highlight w:val="none"/>
        </w:rPr>
        <w:t xml:space="preserve">。</w:t>
      </w:r>
      <w:r>
        <w:rPr>
          <w:rFonts w:hint="eastAsia" w:ascii="宋体" w:hAnsi="宋体" w:cs="宋体"/>
          <w:color w:val="auto"/>
          <w:sz w:val="24"/>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本项目采用线上二次报价：</w:t>
      </w:r>
      <w:r/>
    </w:p>
    <w:p>
      <w:pPr>
        <w:ind w:firstLine="408"/>
        <w:spacing w:line="360" w:lineRule="auto"/>
        <w:rPr>
          <w:rFonts w:hint="eastAsia" w:ascii="宋体" w:hAnsi="宋体" w:cs="宋体"/>
          <w:color w:val="auto"/>
          <w:sz w:val="24"/>
          <w:highlight w:val="none"/>
        </w:rPr>
        <w:outlineLvl w:val="0"/>
      </w:pPr>
      <w:r>
        <w:rPr>
          <w:rFonts w:hint="eastAsia" w:ascii="宋体" w:hAnsi="宋体" w:cs="宋体"/>
          <w:bCs/>
          <w:color w:val="auto"/>
          <w:sz w:val="24"/>
          <w:szCs w:val="24"/>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b/>
          <w:bCs/>
          <w:color w:val="auto"/>
          <w:sz w:val="24"/>
          <w:szCs w:val="24"/>
          <w:highlight w:val="none"/>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12.3一项内容只允许一个报价，采购单位不接受任何有选择性的报价。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13.保证金</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14.响应文件的有效期</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14.1自磋商响应文件递交（上传）截止之日起</w:t>
      </w:r>
      <w:r>
        <w:rPr>
          <w:rFonts w:hint="eastAsia" w:ascii="宋体" w:hAnsi="宋体" w:cs="宋体"/>
          <w:color w:val="auto"/>
          <w:sz w:val="24"/>
          <w:highlight w:val="none"/>
          <w:u w:val="single"/>
        </w:rPr>
        <w:t xml:space="preserve">45</w:t>
      </w:r>
      <w:r>
        <w:rPr>
          <w:rFonts w:hint="eastAsia" w:ascii="宋体" w:hAnsi="宋体" w:cs="宋体"/>
          <w:color w:val="auto"/>
          <w:sz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15.截止时间</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16. 磋商程序</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16.1采购代理机构按本须知规定的时间、地点主持磋商采购活动。</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16.3由磋商小组审查供应商解密的响应文件。</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16.6对于通过资格审查和符合性审查的供应商，磋商小组所有成员集中与单一供应商分别进行磋商，并给予所有参加磋商的供应商平等的磋商机会。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highlight w:val="none"/>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16.9磋商结束后，</w:t>
      </w:r>
      <w:r>
        <w:rPr>
          <w:rFonts w:hint="eastAsia" w:ascii="宋体" w:hAnsi="宋体" w:cs="宋体"/>
          <w:b/>
          <w:bCs/>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16.12如磋商过程中出现本采购文件未尽事宜，由磋商小组根据政府采购有关法律、法规讨论决定。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17.项目的终止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17.1出现下列情形之一的，将终止竞争性磋商采购活动：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17.1.1因情况变化，不再符合规定的竞争性磋商采购方式适用情形的；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17.1.2出现影响采购公正的违法、违规行为的；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17.1.4在采购活动中因重大变故，采购任务取消的。</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18.评审内容的保密</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19.成交单位的确认</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19.2</w:t>
      </w:r>
      <w:r>
        <w:rPr>
          <w:rFonts w:hint="eastAsia" w:ascii="宋体" w:hAnsi="宋体" w:cs="宋体"/>
          <w:color w:val="auto"/>
          <w:sz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19.3</w:t>
      </w:r>
      <w:r>
        <w:rPr>
          <w:rFonts w:hint="eastAsia" w:ascii="宋体" w:hAnsi="宋体" w:cs="宋体"/>
          <w:bCs/>
          <w:color w:val="auto"/>
          <w:sz w:val="24"/>
          <w:highlight w:val="none"/>
        </w:rPr>
        <w:t xml:space="preserve">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20.合同授予标准</w:t>
      </w:r>
      <w:r/>
    </w:p>
    <w:p>
      <w:pPr>
        <w:ind w:firstLine="480"/>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color w:val="auto"/>
          <w:sz w:val="24"/>
          <w:highlight w:val="none"/>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21.成交通知书</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21.4在发放《中标（成交）通知书》的同时，向参与项目评审的未中标（成交）供应商发放《未中标（成交）通知书》，以</w:t>
      </w:r>
      <w:r>
        <w:rPr>
          <w:rFonts w:hint="eastAsia" w:ascii="宋体" w:hAnsi="宋体" w:cs="宋体"/>
          <w:color w:val="auto"/>
          <w:sz w:val="24"/>
          <w:highlight w:val="none"/>
          <w:u w:val="single"/>
        </w:rPr>
        <w:t xml:space="preserve">电子邮件、</w:t>
      </w:r>
      <w:r>
        <w:rPr>
          <w:rFonts w:hint="eastAsia" w:ascii="宋体" w:hAnsi="宋体" w:cs="宋体"/>
          <w:color w:val="auto"/>
          <w:sz w:val="24"/>
          <w:highlight w:val="none"/>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22.服务费</w:t>
      </w:r>
      <w:r/>
    </w:p>
    <w:p>
      <w:pPr>
        <w:ind w:firstLine="480"/>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color w:val="auto"/>
          <w:sz w:val="24"/>
          <w:highlight w:val="none"/>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23.</w:t>
      </w:r>
      <w:r>
        <w:rPr>
          <w:rFonts w:hint="eastAsia" w:ascii="宋体" w:hAnsi="宋体"/>
          <w:bCs/>
          <w:color w:val="auto"/>
          <w:sz w:val="24"/>
          <w:highlight w:val="none"/>
        </w:rPr>
        <w:t xml:space="preserve"> </w:t>
      </w:r>
      <w:r>
        <w:rPr>
          <w:rFonts w:hint="eastAsia" w:ascii="宋体" w:hAnsi="宋体"/>
          <w:b/>
          <w:bCs/>
          <w:color w:val="auto"/>
          <w:sz w:val="24"/>
          <w:highlight w:val="none"/>
        </w:rPr>
        <w:t xml:space="preserve">履约保证金</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无</w:t>
      </w:r>
      <w:r/>
    </w:p>
    <w:p>
      <w:pPr>
        <w:spacing w:line="360" w:lineRule="auto"/>
        <w:tabs>
          <w:tab w:val="left" w:pos="8930" w:leader="none"/>
          <w:tab w:val="left" w:pos="930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24.未尽事宜</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按《中华人民共和国政府采购法》及其他有关的法律法规的规定执行。</w:t>
      </w:r>
      <w:r/>
    </w:p>
    <w:p>
      <w:pPr>
        <w:spacing w:line="360" w:lineRule="auto"/>
        <w:rPr>
          <w:rFonts w:hint="eastAsia" w:ascii="宋体" w:hAnsi="宋体"/>
          <w:color w:val="auto"/>
          <w:highlight w:val="none"/>
        </w:rPr>
      </w:pPr>
      <w:r>
        <w:rPr>
          <w:rFonts w:hint="eastAsia" w:ascii="宋体" w:hAnsi="宋体"/>
          <w:color w:val="auto"/>
          <w:highlight w:val="none"/>
        </w:rPr>
      </w:r>
      <w:r/>
    </w:p>
    <w:p>
      <w:pPr>
        <w:jc w:val="left"/>
        <w:spacing w:line="360" w:lineRule="auto"/>
        <w:widowControl/>
        <w:rPr>
          <w:rStyle w:val="894"/>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spacing w:line="360" w:lineRule="auto"/>
        <w:tabs>
          <w:tab w:val="left" w:pos="8930" w:leader="none"/>
          <w:tab w:val="left" w:pos="9306" w:leader="none"/>
        </w:tabs>
        <w:rPr>
          <w:rStyle w:val="894"/>
          <w:rFonts w:hint="eastAsia" w:ascii="宋体" w:hAnsi="宋体" w:cs="宋体"/>
          <w:color w:val="auto"/>
          <w:sz w:val="43"/>
          <w:szCs w:val="43"/>
          <w:highlight w:val="none"/>
        </w:rPr>
      </w:pPr>
      <w:r>
        <w:rPr>
          <w:rStyle w:val="894"/>
          <w:rFonts w:ascii="宋体" w:hAnsi="宋体" w:cs="宋体"/>
          <w:color w:val="auto"/>
          <w:sz w:val="43"/>
          <w:szCs w:val="43"/>
          <w:highlight w:val="none"/>
        </w:rPr>
        <w:br w:type="page" w:clear="all"/>
      </w:r>
      <w:r>
        <w:rPr>
          <w:rStyle w:val="894"/>
          <w:rFonts w:hint="eastAsia" w:ascii="宋体" w:hAnsi="宋体" w:cs="宋体"/>
          <w:color w:val="auto"/>
          <w:sz w:val="43"/>
          <w:szCs w:val="43"/>
          <w:highlight w:val="none"/>
        </w:rPr>
        <w:t xml:space="preserve">第三章 采购内容</w:t>
      </w:r>
      <w:r/>
    </w:p>
    <w:p>
      <w:pPr>
        <w:pStyle w:val="889"/>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鼎信工程咨询（苏州）有限公司受苏州市吴中区人民政府太湖街道办事处的委托，就其所需</w:t>
      </w:r>
      <w:r>
        <w:rPr>
          <w:rFonts w:hint="eastAsia" w:ascii="宋体" w:hAnsi="宋体"/>
          <w:color w:val="auto"/>
          <w:highlight w:val="none"/>
        </w:rPr>
        <w:t xml:space="preserve">2026年太湖街道食堂服务项目</w:t>
      </w:r>
      <w:r>
        <w:rPr>
          <w:rFonts w:hint="eastAsia" w:ascii="宋体" w:hAnsi="宋体" w:cs="宋体"/>
          <w:color w:val="auto"/>
          <w:highlight w:val="none"/>
        </w:rPr>
        <w:t xml:space="preserve">采用竞争性磋商方式进行采购，欢迎有资格的供应商前来参加本次磋商采购活动。</w:t>
      </w:r>
      <w:r/>
    </w:p>
    <w:p>
      <w:pPr>
        <w:pStyle w:val="889"/>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一、项目编号：</w:t>
      </w:r>
      <w:r>
        <w:rPr>
          <w:rFonts w:hint="eastAsia" w:ascii="宋体" w:hAnsi="宋体"/>
          <w:color w:val="auto"/>
          <w:highlight w:val="none"/>
        </w:rPr>
        <w:t xml:space="preserve">JSZC-320506-SZDX-C2025-0020</w:t>
      </w:r>
      <w:r/>
    </w:p>
    <w:p>
      <w:pPr>
        <w:pStyle w:val="889"/>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二、采购内容：</w:t>
      </w:r>
      <w:r>
        <w:rPr>
          <w:rFonts w:hint="eastAsia" w:ascii="宋体" w:hAnsi="宋体"/>
          <w:color w:val="auto"/>
          <w:highlight w:val="none"/>
        </w:rPr>
        <w:t xml:space="preserve">2026年太湖街道食堂服务项目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三、采购项目内容及要求：</w:t>
      </w:r>
      <w:r/>
    </w:p>
    <w:p>
      <w:pPr>
        <w:ind w:firstLine="480"/>
        <w:spacing w:line="360" w:lineRule="auto"/>
        <w:rPr>
          <w:rFonts w:hint="eastAsia" w:ascii="宋体" w:hAnsi="宋体" w:cs="宋体"/>
          <w:color w:val="auto"/>
          <w:sz w:val="24"/>
          <w:szCs w:val="24"/>
          <w:highlight w:val="none"/>
        </w:rPr>
      </w:pPr>
      <w:r/>
      <w:bookmarkStart w:id="34" w:name="_Toc6218"/>
      <w:r>
        <w:rPr>
          <w:rFonts w:hint="eastAsia" w:ascii="宋体" w:hAnsi="宋体" w:cs="宋体"/>
          <w:color w:val="auto"/>
          <w:sz w:val="24"/>
          <w:szCs w:val="24"/>
          <w:highlight w:val="none"/>
        </w:rPr>
        <w:t xml:space="preserve">（一）服务内容与要求：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1、开餐需按时准点供应，不得提前或拖延。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2、每周菜单经采购方管理人员确认。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3、餐具用品：做到卫生、洁净、消毒；餐室（厨房）无蝇、无虫。</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4、伙食调剂恰当，味道可口，品种花色多样。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（二）餐菜要求：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1、早餐提供各式汤面及炒菜浇头、粥、酱菜；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2、午餐菜单定期更换，根据采购方用餐标准及实际需要确定；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3、晚餐根据甲方需要；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4、以上就餐人数和餐菜种类根据采购方实际情况增减，以采购方管理人员通知为准。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（三）人员要求：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针对本项目人员配备人数不少于9人。为全体所有在岗工作人员约200人提供餐食服务。所有人员必须持有健康证后上岗。成交单位必须给上述人员按照国家及苏州市吴中区的有关规定支付工资和交纳正常的社会保险等。磋商响应单位要充分考虑所有工作人员的值休、轮休、法定假日休息以及岗位顶班、日常机动人员的配备，以上所有费用均计入总报价。所有工作人员具体工作安排由采购方指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2、人员一般要求：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1）食堂经理：1人；年龄要求：45周岁以下；性别：男女不限；基本要求：①具有丰富的食堂管理经验，身体健康，诚实正派，敬业爱岗，形象端庄，能熟练操作电脑。②高中及以上学历。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2）主厨：1人；年龄要求： 50岁及以下；性别：男女不限；基本要求：①具备10年餐饮工作经验，3年以上厨师长工作。②技能要求：食品营养，中餐烹饪，家常菜，小吃品类，江浙菜。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3）副厨：相应要求增加1人；年龄要求： 50岁及以下；性别：男女不限；基本要求：①具备8年餐饮工作经验。②技能要求：食品营养，中餐烹饪，家常菜，小吃品类，江浙菜。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4）点心师：1人；年龄要求：50岁及以下；性别：男女不限；基本要求：具备3年及以上点心房工作经验。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5）窗口服务人员：3人；50岁及以下；性别：男女不限；基本要求：身体健康，诚实正派，敬业爱岗。</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6）洗碗工：2人；50岁及以下；性别：男女不限；基本要求：身体健康，诚实正派，敬业爱岗。</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7）上述所有人员的健康证原件须在成交后合同签订前，提供至采购方审核备案，否则，采购方有权取消合同的签订。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（四）管理模式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1、由成交单位委派专业厨房工作人员及管理人员到采购方进行专业厨房管理、服务，为采购方提供膳食服务，规范经营。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2、采购方自始至终监督食堂管理，配备专人指导食堂经营管理工作。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3、成交单位必须保证其经营行为合法有效。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4、采购方管理监督职责：检查监督食堂的卫生安全工作，对违规行为予以处罚；抽查评价服务品种的质量，对违规行为予以处罚；协调员工就餐秩序。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（五）食堂工作流程管理：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1、制订菜单。成交单位根据市场、季节、营养、采购方要求等综合因素制定下周食谱及菜单同时报送采购方备案。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2、饭菜加工。每餐饭菜必须在就餐前10分钟准备好，加工后的饭菜要注意保热、保洁。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4、餐后及时清洗、清理与打扫。餐后要对餐桌、厨具、餐具进行清洗,消毒，并分类放在固定位置，厨房、餐厅进行打扫、冲洗;对剩余饭菜进行处理。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5、每周五要进行厨具、餐具的清洗及厨房、餐厅及周边环境的大扫除。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（六）食堂工作制度：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食堂工作人员按规范程序,按时上、下班,坚守工作岗位。所有食堂工作人员必须社会背景清楚，身体健康。所有食堂工作人员必须到采购方备案，提供健康证明。更换、补充人员必须经过备案。采购方将不定期的对人员上岗情况进行考核，考核如在1个月内达不到要求，采购方有权对成交单位进行惩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2、养成良好的工作习惯,各种厨具、餐具要固定放置,使用完毕后及时放回原处,各种物品不随处乱放。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3、爱护公物。使用锅炉、压面机等械具要严格遵守操作规程,清洗餐具、厨具要细心细致。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4、做好食堂卫生工作。工作期间必须穿工作服,注意做好食品卫生,餐具卫生,环境卫生,个人卫生工作,如有咳嗽、腹泻、发烧、呕吐等疾病,应向食堂管理人员请假,离开食堂工作岗位。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5、食堂工作人员要服务规范、语言文明,工作期间不打闹、不与员工争吵。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（七）食堂卫生制度：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1、禁止使用不新鲜食品,严禁使用腐烂变质的食物,以及其他感官性状异常食物。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2、要做到生品与成品、熟品相隔离,成品与半成品相隔离,食品与杂物相隔离。冷藏时要做到荤腥类食品与其他食品相隔离。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3、食物制作及销售过程中要注意防蝇、防灰尘,以避免杂物混入食品。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4、各种调料不宜久置,装盛调料各种器具应经常洗涤。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(1)餐具、厨具卫生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1）刀、墩、板、桶、盆、筐、灶、锅、抹布等厨具要每餐清洗,保持厨具的清洁。餐具用后要一洗二刷三冲四消毒四类。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2）厨具和餐具要固定摆好。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(2)环境卫生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1）要经常性打扫和清洗食堂地面,做到地面无杂物和积水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2）储藏室要保持干净、干燥和通风,储藏间不得存放其他杂物及个人物件,物品存放要离地,隔墙,分类。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3）对食堂周围的阴沟、角落、泔水桶,垃圾堆要经常性清理,预防细菌感染食物。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4）对存放厨具,餐具的各个角落要经常抹洗。</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(3)食堂工作人员个人卫生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1）食堂工作人员要做到"四勤"勤洗手,剪指甲;勤洗衣服,被褥;勤洗澡,理发;勤换工作服。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2）在工作前及处理食品原料后、便后要用肥皂及流动清水洗手,直接用手接触入口食品之前(如抓粉条,切菜,加工面粉等)应用热水消毒。</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3)不得在食品加工期间及销售食品前抽烟,不正对食品咳嗽、打喷嚏,不随处吐痰。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（八）监督与管理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1、采购方将定期对食堂卫生及饭菜质量进行监督。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2、采购方将强化员工监督，设立食堂职工监督栏。定期做问卷调查。通过听取员工意见，汇总后向成交单位发出整改通知，成交单位必须响应，并提交整改措施，由后勤主管监督执行。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3、采购方将每月进行一次食堂工作考核，考核办法附后。考核内容包括食堂工作人员工作态度，食堂管理制度执行情况等相关事宜。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4、成交单位人员必须遵守采购方管理制度，人员、车辆、物资出入门检查登记，未经采购方有关部门同意，不得携带物品出采购单位。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5、成交单位不准以任何形式向其他单位或个人转包或分包，否则按违约处理。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6、法定公信部门将不定期对“卫生安全质量”进行监督检查。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（九）惩罚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1、成交单位每年度能认真履行职责，无工作失误，饭菜质量好。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①如因食堂内部管理不善，无法保证向员工提供规定的伙食标准。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②员工对成交单位提供的服务强烈不满，严重影响采购方正常工作的开展。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③不服从管理，态度恶劣，影响食堂整体形象，员工对伙食严重不满，多次提出未整改。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④不履行合同条款，有严重违法经营行为或严重违反食品卫生法和违反采购方有关规定。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2、出现食物中毒现象及安全生产事故由成交单位承担所有责任。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（十）相关费用：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1、采购方仅提供现有厨房场地及设备；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2、原材料（含油、米、调料等）由采购方提供；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3、采购方统一负责制作就餐卡；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4、厨房工程类的非成交单位责任所造成的维修费用由采购人承担；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5、食堂洗涤用品、卫生用品等易耗品由成交单位提供；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6、食堂工作人员的招聘、管理、工资（不得低于苏州市最低工资标准）、社保、公积金、意外险、管理费及开票税金、服装及福利等由成交单位承担；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7、水电气、蒸汽费用由采购人承担；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8、厨房设备的维修保养由采购人承担；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9、如涉及采购人国有资产的变更与处置，由采购人决定。原有厨房设备的更换、报损由采购人确认；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10、食堂工作人员工作服及桌（台）布清洗产生的费用由成交单位负责；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11、食堂室外隔油池清掏由成交单位负责，如产生费用也由成交单位负责；室内空调滤网清洗、厨房间设备、管道清洗由采购人负责，如产生费用也由采购人承担。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添置、更换、维修食堂相关设备设施，由成交方提出，经采购方同意后由采购方负责购买。成交方负责提供服务，成交方工作人员餐由采购方免费提供。供餐时间为每日早餐及午餐，晚餐根据采购方需要。（若平时由于突发情况需要增添人手，成交方需无偿支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试用期：成交单位在签订合同后有一个月的试用期，若在试用期间该单位所提供的服务能达到磋商采购文件规定的标准和其承诺，则该合同继续进行；若在此期间内成交单位所提供的服务未能达到磋商采购文件规定的标准或其投标承诺，则采购单位可以无条件终止合同。试用期自签订合同之日起开始计算。</w:t>
      </w:r>
      <w:r/>
    </w:p>
    <w:p>
      <w:pPr>
        <w:ind w:firstLine="420"/>
        <w:spacing w:line="360" w:lineRule="auto"/>
        <w:rPr>
          <w:rFonts w:hint="eastAsia" w:ascii="宋体" w:hAnsi="宋体" w:cs="宋体"/>
          <w:color w:val="auto"/>
          <w:sz w:val="24"/>
          <w:szCs w:val="24"/>
          <w:highlight w:val="none"/>
        </w:rPr>
      </w:pPr>
      <w:r/>
      <w:bookmarkStart w:id="35" w:name="_Toc4055"/>
      <w:r>
        <w:rPr>
          <w:rFonts w:hint="eastAsia" w:ascii="宋体" w:hAnsi="宋体" w:cs="宋体"/>
          <w:color w:val="auto"/>
          <w:sz w:val="24"/>
          <w:szCs w:val="24"/>
          <w:highlight w:val="none"/>
        </w:rPr>
        <w:t xml:space="preserve">2、技术、质量要求：符合采购单位要求及根据磋商文件要求、国家标准及行业标准执行。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3、合同履行期限：</w:t>
      </w:r>
      <w:bookmarkEnd w:id="35"/>
      <w:r/>
      <w:bookmarkStart w:id="36" w:name="_Toc27530"/>
      <w:r>
        <w:rPr>
          <w:rFonts w:hint="eastAsia" w:ascii="宋体" w:hAnsi="宋体" w:cs="宋体"/>
          <w:color w:val="auto"/>
          <w:sz w:val="24"/>
          <w:szCs w:val="24"/>
          <w:highlight w:val="none"/>
        </w:rPr>
        <w:t xml:space="preserve">一年（具体时间以甲方通知为准）</w:t>
      </w:r>
      <w:r/>
    </w:p>
    <w:p>
      <w:pPr>
        <w:ind w:firstLine="42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olor w:val="auto"/>
          <w:sz w:val="24"/>
          <w:szCs w:val="24"/>
          <w:highlight w:val="none"/>
        </w:rPr>
        <w:t xml:space="preserve">验收标准：符合采购文件规定的要求，由采购单位组织人员考核验收。</w:t>
      </w:r>
      <w:r>
        <w:rPr>
          <w:rFonts w:hint="eastAsia" w:ascii="宋体" w:hAnsi="宋体" w:cs="宋体"/>
          <w:color w:val="auto"/>
          <w:sz w:val="24"/>
          <w:szCs w:val="24"/>
          <w:highlight w:val="none"/>
        </w:rPr>
        <w:t xml:space="preserve">（具体验收要求参照苏财规【2024】7号文）</w:t>
      </w:r>
      <w:r/>
    </w:p>
    <w:p>
      <w:pPr>
        <w:ind w:firstLine="480"/>
        <w:spacing w:line="360" w:lineRule="auto"/>
        <w:tabs>
          <w:tab w:val="left" w:pos="753"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（1）按照磋商文件要求和考核标准，供应商需要配合采购人在履约期内进行考核验收。</w:t>
      </w:r>
      <w:r/>
    </w:p>
    <w:p>
      <w:pPr>
        <w:ind w:firstLine="480"/>
        <w:spacing w:line="360" w:lineRule="auto"/>
        <w:rPr>
          <w:color w:val="auto"/>
          <w:highlight w:val="none"/>
        </w:rPr>
      </w:pPr>
      <w:r>
        <w:rPr>
          <w:rFonts w:hint="eastAsia" w:ascii="宋体" w:hAnsi="宋体"/>
          <w:color w:val="auto"/>
          <w:sz w:val="24"/>
          <w:szCs w:val="24"/>
          <w:highlight w:val="none"/>
        </w:rPr>
        <w:t xml:space="preserve">（2）根据考核结果进行相应扣款，不符合采购要求的，采购方有权终止合同，一切损失由成交方承担。</w:t>
      </w:r>
      <w:r/>
    </w:p>
    <w:p>
      <w:pPr>
        <w:ind w:firstLine="480"/>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注：考核标准如下：</w:t>
      </w:r>
      <w:bookmarkEnd w:id="36"/>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标准：采购人组织采购小组每月对中标单位进行考核，按本考核标准进行考核，处罚标准：考核总分≥90，按照月度全额进行支付；考核总分＜90分开始起扣处罚，每扣减一分处罚500元，罚金从当月费用中扣除。一年内连续3个月考核不合格或累计4个月不合格，甲方有权终止合同。</w:t>
      </w:r>
      <w:r/>
    </w:p>
    <w:tbl>
      <w:tblPr>
        <w:tblStyle w:val="704"/>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6841"/>
        <w:gridCol w:w="1175"/>
        <w:gridCol w:w="1082"/>
      </w:tblGrid>
      <w:tr>
        <w:trPr>
          <w:trHeight w:val="720"/>
        </w:trPr>
        <w:tc>
          <w:tcPr>
            <w:tcW w:w="529"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6841"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考核内容</w:t>
            </w:r>
            <w:r/>
          </w:p>
        </w:tc>
        <w:tc>
          <w:tcPr>
            <w:tcW w:w="117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分值（分）</w:t>
            </w:r>
            <w:r/>
          </w:p>
        </w:tc>
        <w:tc>
          <w:tcPr>
            <w:tcW w:w="1082"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得分（分）</w:t>
            </w:r>
            <w:r/>
          </w:p>
        </w:tc>
      </w:tr>
      <w:tr>
        <w:trPr>
          <w:trHeight w:val="743"/>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服务需着装统一，工作人员统一穿着公司配备的专用上衣、裤子，系好围裙，佩戴健康证。违者一项一次罚款20元。</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每天备餐前首先明确就餐人数；备餐等情况。如有发现未执行，一次罚款10元。</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佩戴一次性口罩、手套、及餐具摆放规范。如有发现不规范者罚款20元/次。</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29"/>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提前对窗口保温箱进行加热，并放好所有的餐食。如有发现不按规范操作者罚款20元/次</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07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服务人员做到热情周到，微笑服务，语言规范，文明礼貌。在工作期间不得与采购单位员工发生任何争执，如有违者处一次50~200元罚款。</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45"/>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就餐期间服务人员做到及时巡查，及时处理可能出现的任何问题。不得到催促单位人员结束用餐。</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菜肴新鲜，色泽、口味好。由于没有清洗干净的原材料就进行烹饪造成饭菜中有异物的，视情节轻重罚款20~100元/次。</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菜肴花色更新及时，一周内提供3次以上完全不相同品种菜肴；根据季节调整菜肴。</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244"/>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加工食品时不许染指甲、戴戒指、要洗手消毒、不穿戴工作服、帽进入厕所、不随地吐痰、不乱扔废弃物。加工食品时不吸烟、不挖鼻孔、不捣耳朵、不对着食品打喷嚏。违者一项一次罚款20元。</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064"/>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食堂餐具要严格执行消毒规定，餐具、茶具、熟食容器餐后应清洗消毒做到使用一次清洗消毒一次，消毒要按一刮、二洗、三冲、四消毒、五保洁顺序操作。如有发现不符合要求，一次罚款20元。</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684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及时关闭水电气等能源，避免造成浪费。如有发现未及时关闭，造成浪费一次罚款50元。</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76"/>
        </w:trPr>
        <w:tc>
          <w:tcPr>
            <w:gridSpan w:val="2"/>
            <w:tcW w:w="73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11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8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四、综合说明及其它要求：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响应报价包括全部服务所需的人工费(所有工作人员的值休、轮休、法定假日休息以及岗位顶班、日常机动人员的配备)、材料费、工具及设备使用费等相关费用、管理费、代理服务费、餐费、住宿费、人员出行交通费、各种社会保险、规费以及响应单位企业利润、税金和政策性文件规定及合同包含的所有风险、责任等各项应有费用。</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2、供应商必须说明其是否响应采购文</w:t>
      </w:r>
      <w:r>
        <w:rPr>
          <w:rFonts w:hint="eastAsia" w:ascii="宋体" w:hAnsi="宋体"/>
          <w:color w:val="auto"/>
          <w:sz w:val="24"/>
          <w:highlight w:val="none"/>
        </w:rPr>
        <w:t xml:space="preserve">件中提出的全部服务内容与要求，如果以其中某些条款不响应时，应在文件中逐条列出，未列出的视同响应。</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3、响应单位提供的磋商响应文件内容须真实、准确、有效，</w:t>
      </w:r>
      <w:r>
        <w:rPr>
          <w:rFonts w:ascii="宋体" w:hAnsi="宋体"/>
          <w:color w:val="auto"/>
          <w:sz w:val="24"/>
          <w:highlight w:val="none"/>
        </w:rPr>
        <w:t xml:space="preserve">如提供的参数虚假或对采购文件所要求说明的情况故意隐瞒或虚报，</w:t>
      </w:r>
      <w:r>
        <w:rPr>
          <w:rFonts w:hint="eastAsia" w:ascii="宋体" w:hAnsi="宋体"/>
          <w:color w:val="auto"/>
          <w:sz w:val="24"/>
          <w:highlight w:val="none"/>
        </w:rPr>
        <w:t xml:space="preserve">按《中华人民共和国政府采购法》第七十七条的相关办法处理。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4、响应单位须为本项目配备的所有服务人员按规定缴纳社会保险及人身意外险，若工作人员在服务期间内出现的工伤及其他意外事故，均由响应单位自行负责，采购人不承担任何责任。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响应单位必须遵守《中华人民共和国劳动法》的规定，为采购人提供的服务人员如遇到工资纠纷问题由响应单位自行解决。每天及双休日因工作而产生的加班费用，高温津贴，均由成交单位向服务人员支付，含在响应总报价中。</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6对员工进行岗位职责和安全教育，岗位重要内容的保密，加强岗位责任考核，提高服务人员安全意识，提高服务质量。</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7、磋商说明：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（1）不符合供应商资格要求的响应文件视为无效响应；</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（2）供应商未按不见面开标流程解密成功的视为无效；</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（3）最终报价超过采购预算的，不能成交；</w:t>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（4）不实质性响应磋商文件的不能成交；</w:t>
      </w:r>
      <w:bookmarkEnd w:id="34"/>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（5）在“苏彩云”系统中出现供应商“机器码一致”情形的，响应文件将被拒绝。</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五、根据苏州市财政局《关于贯彻执行绿色采购、促进残疾人就业和支持监狱企业发展有关政策的通知》（苏财购〔2019〕10号）规定：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1、关于节能环保产品政府采购要求：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根据财政部、发展改革委、生态环境部、市场监管总局关于调整优化节能产品、环境标志产品政府采购执行机制的通知：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1.2采购清单中的产品属于环境标志产品政府采购品目清单的优先采购的，则在综合评分相同情况下，提供优先采购产品更多的响应单位优先成交。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2、进一步明确政府采购促进残疾人就业政策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3、进一步明确政府采购支持监狱企业发展政策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六、根据苏州市财政局《关于进一步做好政府采购正常贯彻执行工作的通知》（苏财购（2017）10号）文件规定：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1、关于政府采购促进中小企业发展政策要求：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1.1不同行业的中小微企业划分标准以工信部、国家统计局、国家发改委、财政部《关于印发中小企业划型标准规定的通知》（工信部联企业〔2011〕300号）为准。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1.4对小型和微型企业产品或服务的价格给予相关比例的扣除，用扣除后的价格参与评审，具体信息详见评分标准。</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1、关于对参与供应商信用记录的政府采购要求：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1.1采购代理机构会在接收响应文件截止时间后，在中国政府采购网（www.ccgp.gov.cn）、信用中国（www.creditchina.gov.cn）、信用江苏（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Style w:val="896"/>
          <w:rFonts w:hint="eastAsia" w:ascii="宋体" w:hAnsi="宋体"/>
          <w:bCs/>
          <w:color w:val="auto"/>
          <w:sz w:val="24"/>
          <w:highlight w:val="none"/>
        </w:rPr>
        <w:t xml:space="preserve">www.jscredit.gov.cn</w:t>
      </w:r>
      <w:r>
        <w:rPr>
          <w:rStyle w:val="896"/>
          <w:rFonts w:hint="eastAsia" w:ascii="宋体" w:hAnsi="宋体"/>
          <w:bCs/>
          <w:color w:val="auto"/>
          <w:sz w:val="24"/>
          <w:highlight w:val="none"/>
        </w:rPr>
        <w:fldChar w:fldCharType="end"/>
      </w:r>
      <w:r>
        <w:rPr>
          <w:rFonts w:hint="eastAsia" w:ascii="宋体" w:hAnsi="宋体"/>
          <w:bCs/>
          <w:color w:val="auto"/>
          <w:sz w:val="24"/>
          <w:highlight w:val="none"/>
        </w:rPr>
        <w:t xml:space="preserve">）、诚信苏州（www.szcredit.gov.cn）的网站输入供应商全称或统一社会信用代码查询信用记录，并将查询结果递交评审小组。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（二）财政部门与法院、工商、税务等部门联合惩戒的失信信息，包括：</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1）被列入失信被执行人名单；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2）被列入重大税收违法案件当事人名单；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ascii="宋体" w:hAnsi="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八、行业属性：</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b/>
          <w:color w:val="auto"/>
          <w:sz w:val="24"/>
          <w:highlight w:val="none"/>
        </w:rPr>
        <w:t xml:space="preserve">餐饮业</w:t>
      </w:r>
      <w:r/>
    </w:p>
    <w:p>
      <w:pPr>
        <w:jc w:val="center"/>
        <w:spacing w:line="360" w:lineRule="auto"/>
        <w:rPr>
          <w:rStyle w:val="894"/>
          <w:rFonts w:hint="eastAsia" w:ascii="宋体" w:hAnsi="宋体" w:cs="宋体"/>
          <w:color w:val="auto"/>
          <w:sz w:val="43"/>
          <w:szCs w:val="43"/>
          <w:highlight w:val="none"/>
        </w:rPr>
      </w:pPr>
      <w:r>
        <w:rPr>
          <w:rFonts w:hint="eastAsia" w:ascii="宋体" w:hAnsi="宋体"/>
          <w:bCs/>
          <w:color w:val="auto"/>
          <w:sz w:val="24"/>
          <w:highlight w:val="none"/>
        </w:rPr>
        <w:t xml:space="preserve">九、凡涉及采购文件的补充说明和修改，均以苏州政府采购网发布的文件为准。</w:t>
      </w:r>
      <w:r>
        <w:rPr>
          <w:rStyle w:val="894"/>
          <w:rFonts w:ascii="宋体" w:hAnsi="宋体" w:cs="宋体"/>
          <w:color w:val="auto"/>
          <w:sz w:val="43"/>
          <w:szCs w:val="43"/>
          <w:highlight w:val="none"/>
        </w:rPr>
        <w:br w:type="page" w:clear="all"/>
      </w:r>
      <w:r>
        <w:rPr>
          <w:rStyle w:val="894"/>
          <w:rFonts w:hint="eastAsia" w:ascii="宋体" w:hAnsi="宋体" w:cs="宋体"/>
          <w:color w:val="auto"/>
          <w:sz w:val="43"/>
          <w:szCs w:val="43"/>
          <w:highlight w:val="none"/>
        </w:rPr>
        <w:t xml:space="preserve">第四章 评审办法及评分标准</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一、评审方法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2、综合评分的主要因素为：综合实力、业绩、技术、财务状况、信誉、服务、对磋商采购文件的响应程度，以及相应的比重或者数值等。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注：评审过程中出现下列情形之一的，评审委员会应当启动异常低价投标(响应)审查程序：</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（1）投标(响应)报价低于采购项目预算50%的，即投标(响应)报价&lt;采购项目预算*50%；</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（2）投标(响应)报价低于采购项目最高限价45%的，即投标(响应)报价&lt;采购项目最高限价*45%；</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针对小型、微型企业的价格评审办法：</w:t>
      </w:r>
      <w:r/>
    </w:p>
    <w:p>
      <w:pPr>
        <w:pStyle w:val="898"/>
        <w:ind w:firstLine="480"/>
        <w:spacing w:line="360" w:lineRule="auto"/>
        <w:rPr>
          <w:rFonts w:hint="eastAsia" w:hAnsi="宋体" w:cs="Times New Roman"/>
          <w:color w:val="auto"/>
          <w:szCs w:val="22"/>
          <w:highlight w:val="none"/>
        </w:rPr>
      </w:pPr>
      <w:r>
        <w:rPr>
          <w:rFonts w:hint="eastAsia" w:hAnsi="宋体" w:cs="Times New Roman"/>
          <w:color w:val="auto"/>
          <w:szCs w:val="22"/>
          <w:highlight w:val="none"/>
        </w:rPr>
        <w:t xml:space="preserve">根据《政府采购促进中小企业发展管理办法》（财库〔</w:t>
      </w:r>
      <w:r>
        <w:rPr>
          <w:rFonts w:hAnsi="宋体" w:cs="Times New Roman"/>
          <w:color w:val="auto"/>
          <w:szCs w:val="22"/>
          <w:highlight w:val="none"/>
        </w:rPr>
        <w:t xml:space="preserve">2020</w:t>
      </w:r>
      <w:r>
        <w:rPr>
          <w:rFonts w:hint="eastAsia" w:hAnsi="宋体" w:cs="Times New Roman"/>
          <w:color w:val="auto"/>
          <w:szCs w:val="22"/>
          <w:highlight w:val="none"/>
        </w:rPr>
        <w:t xml:space="preserve">〕</w:t>
      </w:r>
      <w:r>
        <w:rPr>
          <w:rFonts w:hAnsi="宋体" w:cs="Times New Roman"/>
          <w:color w:val="auto"/>
          <w:szCs w:val="22"/>
          <w:highlight w:val="none"/>
        </w:rPr>
        <w:t xml:space="preserve">46</w:t>
      </w:r>
      <w:r>
        <w:rPr>
          <w:rFonts w:hint="eastAsia" w:hAnsi="宋体" w:cs="Times New Roman"/>
          <w:color w:val="auto"/>
          <w:szCs w:val="22"/>
          <w:highlight w:val="none"/>
        </w:rPr>
        <w:t xml:space="preserve">号）、《关于促进残疾人就业政府采购政策的通知》（财库〔</w:t>
      </w:r>
      <w:r>
        <w:rPr>
          <w:rFonts w:hAnsi="宋体" w:cs="Times New Roman"/>
          <w:color w:val="auto"/>
          <w:szCs w:val="22"/>
          <w:highlight w:val="none"/>
        </w:rPr>
        <w:t xml:space="preserve">2017</w:t>
      </w:r>
      <w:r>
        <w:rPr>
          <w:rFonts w:hint="eastAsia" w:hAnsi="宋体" w:cs="Times New Roman"/>
          <w:color w:val="auto"/>
          <w:szCs w:val="22"/>
          <w:highlight w:val="none"/>
        </w:rPr>
        <w:t xml:space="preserve">〕</w:t>
      </w:r>
      <w:r>
        <w:rPr>
          <w:rFonts w:hAnsi="宋体" w:cs="Times New Roman"/>
          <w:color w:val="auto"/>
          <w:szCs w:val="22"/>
          <w:highlight w:val="none"/>
        </w:rPr>
        <w:t xml:space="preserve">141</w:t>
      </w:r>
      <w:r>
        <w:rPr>
          <w:rFonts w:hint="eastAsia" w:hAnsi="宋体" w:cs="Times New Roman"/>
          <w:color w:val="auto"/>
          <w:szCs w:val="22"/>
          <w:highlight w:val="none"/>
        </w:rPr>
        <w:t xml:space="preserve">号）、《关于政府采购支持监狱企业发展有关问题的通知》（财库〔</w:t>
      </w:r>
      <w:r>
        <w:rPr>
          <w:rFonts w:hAnsi="宋体" w:cs="Times New Roman"/>
          <w:color w:val="auto"/>
          <w:szCs w:val="22"/>
          <w:highlight w:val="none"/>
        </w:rPr>
        <w:t xml:space="preserve">2014</w:t>
      </w:r>
      <w:r>
        <w:rPr>
          <w:rFonts w:hint="eastAsia" w:hAnsi="宋体" w:cs="Times New Roman"/>
          <w:color w:val="auto"/>
          <w:szCs w:val="22"/>
          <w:highlight w:val="none"/>
        </w:rPr>
        <w:t xml:space="preserve">〕</w:t>
      </w:r>
      <w:r>
        <w:rPr>
          <w:rFonts w:hAnsi="宋体" w:cs="Times New Roman"/>
          <w:color w:val="auto"/>
          <w:szCs w:val="22"/>
          <w:highlight w:val="none"/>
        </w:rPr>
        <w:t xml:space="preserve">68</w:t>
      </w:r>
      <w:r>
        <w:rPr>
          <w:rFonts w:hint="eastAsia" w:hAnsi="宋体" w:cs="Times New Roman"/>
          <w:color w:val="auto"/>
          <w:szCs w:val="22"/>
          <w:highlight w:val="none"/>
        </w:rPr>
        <w:t xml:space="preserve">号）和《关于做好政府采购支持企业发展有关事项的通知》（苏财购〔</w:t>
      </w:r>
      <w:r>
        <w:rPr>
          <w:rFonts w:hAnsi="宋体" w:cs="Times New Roman"/>
          <w:color w:val="auto"/>
          <w:szCs w:val="22"/>
          <w:highlight w:val="none"/>
        </w:rPr>
        <w:t xml:space="preserve">2020</w:t>
      </w:r>
      <w:r>
        <w:rPr>
          <w:rFonts w:hint="eastAsia" w:hAnsi="宋体" w:cs="Times New Roman"/>
          <w:color w:val="auto"/>
          <w:szCs w:val="22"/>
          <w:highlight w:val="none"/>
        </w:rPr>
        <w:t xml:space="preserve">〕</w:t>
      </w:r>
      <w:r>
        <w:rPr>
          <w:rFonts w:hAnsi="宋体" w:cs="Times New Roman"/>
          <w:color w:val="auto"/>
          <w:szCs w:val="22"/>
          <w:highlight w:val="none"/>
        </w:rPr>
        <w:t xml:space="preserve">52</w:t>
      </w:r>
      <w:r>
        <w:rPr>
          <w:rFonts w:hint="eastAsia" w:hAnsi="宋体" w:cs="Times New Roman"/>
          <w:color w:val="auto"/>
          <w:szCs w:val="22"/>
          <w:highlight w:val="none"/>
        </w:rPr>
        <w:t xml:space="preserve">号）及《关于印发</w:t>
      </w:r>
      <w:r>
        <w:rPr>
          <w:rFonts w:hAnsi="宋体" w:cs="Times New Roman"/>
          <w:color w:val="auto"/>
          <w:szCs w:val="22"/>
          <w:highlight w:val="none"/>
        </w:rPr>
        <w:t xml:space="preserve">&lt;</w:t>
      </w:r>
      <w:r>
        <w:rPr>
          <w:rFonts w:hint="eastAsia" w:hAnsi="宋体" w:cs="Times New Roman"/>
          <w:color w:val="auto"/>
          <w:szCs w:val="22"/>
          <w:highlight w:val="none"/>
        </w:rPr>
        <w:t xml:space="preserve">苏州市政府采购促进中小企业发展实施意见</w:t>
      </w:r>
      <w:r>
        <w:rPr>
          <w:rFonts w:hAnsi="宋体" w:cs="Times New Roman"/>
          <w:color w:val="auto"/>
          <w:szCs w:val="22"/>
          <w:highlight w:val="none"/>
        </w:rPr>
        <w:t xml:space="preserve">&gt;</w:t>
      </w:r>
      <w:r>
        <w:rPr>
          <w:rFonts w:hint="eastAsia" w:hAnsi="宋体" w:cs="Times New Roman"/>
          <w:color w:val="auto"/>
          <w:szCs w:val="22"/>
          <w:highlight w:val="none"/>
        </w:rPr>
        <w:t xml:space="preserve">的通知》（苏财购〔</w:t>
      </w:r>
      <w:r>
        <w:rPr>
          <w:rFonts w:hAnsi="宋体" w:cs="Times New Roman"/>
          <w:color w:val="auto"/>
          <w:szCs w:val="22"/>
          <w:highlight w:val="none"/>
        </w:rPr>
        <w:t xml:space="preserve">2022</w:t>
      </w:r>
      <w:r>
        <w:rPr>
          <w:rFonts w:hint="eastAsia" w:hAnsi="宋体" w:cs="Times New Roman"/>
          <w:color w:val="auto"/>
          <w:szCs w:val="22"/>
          <w:highlight w:val="none"/>
        </w:rPr>
        <w:t xml:space="preserve">〕</w:t>
      </w:r>
      <w:r>
        <w:rPr>
          <w:rFonts w:hAnsi="宋体" w:cs="Times New Roman"/>
          <w:color w:val="auto"/>
          <w:szCs w:val="22"/>
          <w:highlight w:val="none"/>
        </w:rPr>
        <w:t xml:space="preserve">16</w:t>
      </w:r>
      <w:r>
        <w:rPr>
          <w:rFonts w:hint="eastAsia" w:hAnsi="宋体" w:cs="Times New Roman"/>
          <w:color w:val="auto"/>
          <w:szCs w:val="22"/>
          <w:highlight w:val="none"/>
        </w:rPr>
        <w:t xml:space="preserve">号）的有关规定，对于符合上述文件规定情形的小微企业、残疾人福利性单位及监狱企业报价给予</w:t>
      </w:r>
      <w:r>
        <w:rPr>
          <w:rFonts w:hAnsi="宋体" w:cs="Times New Roman"/>
          <w:color w:val="auto"/>
          <w:szCs w:val="22"/>
          <w:highlight w:val="none"/>
        </w:rPr>
        <w:t xml:space="preserve">20%</w:t>
      </w:r>
      <w:r>
        <w:rPr>
          <w:rFonts w:hint="eastAsia" w:hAnsi="宋体" w:cs="Times New Roman"/>
          <w:color w:val="auto"/>
          <w:szCs w:val="22"/>
          <w:highlight w:val="none"/>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rPr>
          <w:rFonts w:hAnsi="宋体" w:cs="Times New Roman"/>
          <w:color w:val="auto"/>
          <w:szCs w:val="22"/>
          <w:highlight w:val="none"/>
        </w:rPr>
        <w:t xml:space="preserve"> </w:t>
      </w:r>
      <w:r>
        <w:rPr>
          <w:rFonts w:hint="eastAsia" w:hAnsi="宋体" w:cs="Times New Roman"/>
          <w:color w:val="auto"/>
          <w:szCs w:val="22"/>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auto"/>
          <w:szCs w:val="22"/>
          <w:highlight w:val="none"/>
        </w:rPr>
        <w:t xml:space="preserve"> </w:t>
      </w:r>
      <w:r>
        <w:rPr>
          <w:rFonts w:hint="eastAsia" w:hAnsi="宋体" w:cs="Times New Roman"/>
          <w:color w:val="auto"/>
          <w:szCs w:val="22"/>
          <w:highlight w:val="none"/>
        </w:rPr>
        <w:t xml:space="preserve">注：</w:t>
      </w:r>
      <w:r>
        <w:rPr>
          <w:rFonts w:hAnsi="宋体" w:cs="Times New Roman"/>
          <w:color w:val="auto"/>
          <w:szCs w:val="22"/>
          <w:highlight w:val="none"/>
        </w:rPr>
        <w:t xml:space="preserve"> </w:t>
      </w:r>
      <w:r>
        <w:rPr>
          <w:rFonts w:hint="eastAsia" w:hAnsi="宋体" w:cs="Times New Roman"/>
          <w:color w:val="auto"/>
          <w:szCs w:val="22"/>
          <w:highlight w:val="none"/>
        </w:rPr>
        <w:t xml:space="preserve">①填报</w:t>
      </w:r>
      <w:r>
        <w:rPr>
          <w:rFonts w:hAnsi="宋体" w:cs="Times New Roman"/>
          <w:color w:val="auto"/>
          <w:szCs w:val="22"/>
          <w:highlight w:val="none"/>
        </w:rPr>
        <w:t xml:space="preserve">“</w:t>
      </w:r>
      <w:r>
        <w:rPr>
          <w:rFonts w:hint="eastAsia" w:hAnsi="宋体" w:cs="Times New Roman"/>
          <w:color w:val="auto"/>
          <w:szCs w:val="22"/>
          <w:highlight w:val="none"/>
        </w:rPr>
        <w:t xml:space="preserve">中小企业声明函</w:t>
      </w:r>
      <w:r>
        <w:rPr>
          <w:rFonts w:hAnsi="宋体" w:cs="Times New Roman"/>
          <w:color w:val="auto"/>
          <w:szCs w:val="22"/>
          <w:highlight w:val="none"/>
        </w:rPr>
        <w:t xml:space="preserve">”</w:t>
      </w:r>
      <w:r>
        <w:rPr>
          <w:rFonts w:hint="eastAsia" w:hAnsi="宋体" w:cs="Times New Roman"/>
          <w:color w:val="auto"/>
          <w:szCs w:val="22"/>
          <w:highlight w:val="none"/>
        </w:rPr>
        <w:t xml:space="preserve">需严格按工信部联企业〔</w:t>
      </w:r>
      <w:r>
        <w:rPr>
          <w:rFonts w:hAnsi="宋体" w:cs="Times New Roman"/>
          <w:color w:val="auto"/>
          <w:szCs w:val="22"/>
          <w:highlight w:val="none"/>
        </w:rPr>
        <w:t xml:space="preserve">2011</w:t>
      </w:r>
      <w:r>
        <w:rPr>
          <w:rFonts w:hint="eastAsia" w:hAnsi="宋体" w:cs="Times New Roman"/>
          <w:color w:val="auto"/>
          <w:szCs w:val="22"/>
          <w:highlight w:val="none"/>
        </w:rPr>
        <w:t xml:space="preserve">〕</w:t>
      </w:r>
      <w:r>
        <w:rPr>
          <w:rFonts w:hAnsi="宋体" w:cs="Times New Roman"/>
          <w:color w:val="auto"/>
          <w:szCs w:val="22"/>
          <w:highlight w:val="none"/>
        </w:rPr>
        <w:t xml:space="preserve">300</w:t>
      </w:r>
      <w:r>
        <w:rPr>
          <w:rFonts w:hint="eastAsia" w:hAnsi="宋体" w:cs="Times New Roman"/>
          <w:color w:val="auto"/>
          <w:szCs w:val="22"/>
          <w:highlight w:val="none"/>
        </w:rPr>
        <w:t xml:space="preserve">号通知中的《中小企业划型标准规定》进行。</w:t>
      </w:r>
      <w:r>
        <w:rPr>
          <w:rFonts w:hAnsi="宋体" w:cs="Times New Roman"/>
          <w:color w:val="auto"/>
          <w:szCs w:val="22"/>
          <w:highlight w:val="none"/>
        </w:rPr>
        <w:t xml:space="preserve"> </w:t>
      </w:r>
      <w:r/>
    </w:p>
    <w:p>
      <w:pPr>
        <w:pStyle w:val="898"/>
        <w:ind w:firstLine="480"/>
        <w:spacing w:line="360" w:lineRule="auto"/>
        <w:rPr>
          <w:rFonts w:hint="eastAsia" w:hAnsi="宋体" w:cs="Times New Roman"/>
          <w:color w:val="auto"/>
          <w:szCs w:val="22"/>
          <w:highlight w:val="none"/>
        </w:rPr>
      </w:pPr>
      <w:r>
        <w:rPr>
          <w:rFonts w:hint="eastAsia" w:hAnsi="宋体" w:cs="Times New Roman"/>
          <w:color w:val="auto"/>
          <w:szCs w:val="22"/>
          <w:highlight w:val="none"/>
        </w:rPr>
        <w:t xml:space="preserve">②若供应商提供的声明函或认定证明为虚假材料，按</w:t>
      </w:r>
      <w:r>
        <w:rPr>
          <w:rFonts w:hAnsi="宋体" w:cs="Times New Roman"/>
          <w:color w:val="auto"/>
          <w:szCs w:val="22"/>
          <w:highlight w:val="none"/>
        </w:rPr>
        <w:t xml:space="preserve">“</w:t>
      </w:r>
      <w:r>
        <w:rPr>
          <w:rFonts w:hint="eastAsia" w:hAnsi="宋体" w:cs="Times New Roman"/>
          <w:color w:val="auto"/>
          <w:szCs w:val="22"/>
          <w:highlight w:val="none"/>
        </w:rPr>
        <w:t xml:space="preserve">政府采购法</w:t>
      </w:r>
      <w:r>
        <w:rPr>
          <w:rFonts w:hAnsi="宋体" w:cs="Times New Roman"/>
          <w:color w:val="auto"/>
          <w:szCs w:val="22"/>
          <w:highlight w:val="none"/>
        </w:rPr>
        <w:t xml:space="preserve">”</w:t>
      </w:r>
      <w:r>
        <w:rPr>
          <w:rFonts w:hint="eastAsia" w:hAnsi="宋体" w:cs="Times New Roman"/>
          <w:color w:val="auto"/>
          <w:szCs w:val="22"/>
          <w:highlight w:val="none"/>
        </w:rPr>
        <w:t xml:space="preserve">相关规定处理并报请政府监管部门给予行政处罚。</w:t>
      </w:r>
      <w:r>
        <w:rPr>
          <w:rFonts w:hAnsi="宋体" w:cs="Times New Roman"/>
          <w:color w:val="auto"/>
          <w:szCs w:val="22"/>
          <w:highlight w:val="none"/>
        </w:rPr>
        <w:t xml:space="preserve"> </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③若为专门面向中小企业采购的项目或者采购包，不再执行价格评审优惠的扶持政策。</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二、评分标准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（一）价格基准分（10分）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第一步：磋商</w:t>
      </w:r>
      <w:r>
        <w:rPr>
          <w:rFonts w:ascii="宋体" w:hAnsi="宋体"/>
          <w:color w:val="auto"/>
          <w:sz w:val="24"/>
          <w:highlight w:val="none"/>
        </w:rPr>
        <w:t xml:space="preserve">报价低于或等于</w:t>
      </w:r>
      <w:r>
        <w:rPr>
          <w:rFonts w:hint="eastAsia" w:ascii="宋体" w:hAnsi="宋体"/>
          <w:color w:val="auto"/>
          <w:sz w:val="24"/>
          <w:highlight w:val="none"/>
        </w:rPr>
        <w:t xml:space="preserve">采购</w:t>
      </w:r>
      <w:r>
        <w:rPr>
          <w:rFonts w:ascii="宋体" w:hAnsi="宋体"/>
          <w:color w:val="auto"/>
          <w:sz w:val="24"/>
          <w:highlight w:val="none"/>
        </w:rPr>
        <w:t xml:space="preserve">预算价格的，为有效</w:t>
      </w:r>
      <w:r>
        <w:rPr>
          <w:rFonts w:hint="eastAsia" w:ascii="宋体" w:hAnsi="宋体"/>
          <w:color w:val="auto"/>
          <w:sz w:val="24"/>
          <w:highlight w:val="none"/>
        </w:rPr>
        <w:t xml:space="preserve">磋商</w:t>
      </w:r>
      <w:r>
        <w:rPr>
          <w:rFonts w:ascii="宋体" w:hAnsi="宋体"/>
          <w:color w:val="auto"/>
          <w:sz w:val="24"/>
          <w:highlight w:val="none"/>
        </w:rPr>
        <w:t xml:space="preserve">报价。</w:t>
      </w:r>
      <w:r>
        <w:rPr>
          <w:rFonts w:hint="eastAsia" w:ascii="宋体" w:hAnsi="宋体"/>
          <w:color w:val="auto"/>
          <w:sz w:val="24"/>
          <w:highlight w:val="none"/>
        </w:rPr>
        <w:t xml:space="preserve">超财政预算的磋商报价文件为未实质性响应文件，不参与评审。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磋商报价得分＝（评标基准价/磋商报价）×10%×100</w:t>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（二）服务管理方案比较（66分）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1、针对本项目整体服务思路比较（最高8分）：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服务思路完整、合理、清晰且有保障的得8分；服务思路较完整、合理、清晰且有保障的得6分；服务思路一般的得3分；未提供不得分。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2、食堂安全卫生管理制度（最高8分）：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食品安全管理、卫生管理制度、消防安全管理、机械安全管理、人身安全管理等方案合理、完善的得8分；食品安全管理、消防安全管理、机械安全管理、人身安全管理等方案较合理、完善的得6分；食品安全管理、消防安全管理、机械安全管理、人身安全管理等方案一般的得3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3、工作人员的岗位职责、工作标准及规范用工进行比较（最高8分）：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人员配置合理，各岗位职责清晰，组织管理体系科学，能够有效实施管理工作，得8分；工作人员配置较合理，各岗位职责较清晰，组织管理体系较科学，得6分；工作人员配置一般，各岗位职责一般，组织管理体系一般，得3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4、投标单位供应的菜色品种方案、荤素搭配方案比较（最高8分）：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菜色品种方案丰富、多样，荤素搭配方案营养、合理的得8分；菜色品种方案较丰富、多样，荤素搭配方案较营养、合理的得6分；菜色品种方案一般，荤素搭配方案一般的得3分；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5、根据食堂考核标准，针对餐厅服务管理方案做出的详细执行方案、具体承诺和创新做法比较（最高8分）：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方案的完整性、合理性、适用性优的得8分；方案的完整性、合理性、适用性一般的得6分；方案的完整性、合理性、适用性较差的得3分；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6、对员工的内部奖惩制度进行比较（最高8分）：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内部奖惩制度的合理、完整的得8分；内部奖惩制度的较合理、完整的得6分；内部奖惩制度的一般的得3分；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7、食堂资产管理措施方案的比较（最高6分）：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厨房设备维护、餐具管理、食堂设施管理方案针对性强，实施可行性强的得6分；厨房设备维护、餐具管理、食堂设施管理方案描述较为简单，可行性一般的得4分；厨房设备维护、餐具管理、食堂设施管理方案描述简单，可行性差的得2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8、食堂节能节约计划和管理措施的方案比较（最高6分）: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方案针对性强，实施可行性强的得6分；方案描述较为简单，可行性一般的得4分；方案描述简单，可行性差的得2分；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9、针对本项目紧急情况制定的应急预案等，对投标单位制定的食物中毒应急、投诉处理，消防事故处理等预案进行比较（最高6分）：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具备各类应急预案，方案针对性强，实施可行性强的得6分；具备各类应急预案，方案较为完整，总体安排可行的得4分；具有应急预案，方案描述较为简单，可行性一般的得2分；</w:t>
      </w:r>
      <w:r>
        <w:rPr>
          <w:rFonts w:hint="eastAsia" w:ascii="宋体" w:hAnsi="宋体" w:cs="宋体"/>
          <w:color w:val="auto"/>
          <w:sz w:val="24"/>
          <w:szCs w:val="20"/>
          <w:highlight w:val="none"/>
          <w:lang w:bidi="ar"/>
        </w:rPr>
        <w:t xml:space="preserve">未提供不得分</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（三）企业综合比较（24分）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1、2023年1月1日起至今从事过类似餐饮经营服务的业绩（12分）</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2023年1月1日以来（以合同签订时间为准），每具有一个类似业绩的，有一份得2分，最高12分。（响应文件中须提供合同复印件，否则不得分。）</w:t>
      </w:r>
      <w:r/>
    </w:p>
    <w:p>
      <w:pPr>
        <w:numPr>
          <w:ilvl w:val="0"/>
          <w:numId w:val="1"/>
        </w:num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具有有效期内的环境管理体系认证证书、质量管理体系认证证书、食品安全管理体系认证证书、职业健康安全管理体系认证证书，每提供一份得2分，最高8分。（响应文件中须提供上述认证证书及中国国家认证认可监督管理委员会官网证书查询截图，未提供或提供不全的不得分。）</w:t>
      </w:r>
      <w:r/>
    </w:p>
    <w:p>
      <w:pPr>
        <w:numPr>
          <w:ilvl w:val="0"/>
          <w:numId w:val="1"/>
        </w:numPr>
        <w:ind w:firstLine="480"/>
        <w:jc w:val="left"/>
        <w:spacing w:line="360" w:lineRule="auto"/>
        <w:rPr>
          <w:rFonts w:hint="eastAsia" w:ascii="宋体" w:hAnsi="宋体" w:cs="宋体"/>
          <w:color w:val="auto"/>
          <w:sz w:val="24"/>
          <w:highlight w:val="none"/>
        </w:rPr>
      </w:pPr>
      <w:r/>
      <w:bookmarkStart w:id="39" w:name="_GoBack"/>
      <w:r>
        <w:rPr>
          <w:rFonts w:hint="eastAsia" w:ascii="宋体" w:hAnsi="宋体" w:cs="宋体"/>
          <w:color w:val="auto"/>
          <w:sz w:val="24"/>
          <w:highlight w:val="none"/>
        </w:rPr>
        <w:t xml:space="preserve">项目成员中具有公共营养师的有一个得2分，最高得4分。（</w:t>
      </w:r>
      <w:r>
        <w:rPr>
          <w:rFonts w:hint="eastAsia" w:ascii="宋体" w:hAnsi="宋体" w:cs="宋体"/>
          <w:color w:val="auto"/>
          <w:sz w:val="24"/>
          <w:szCs w:val="24"/>
          <w:highlight w:val="none"/>
        </w:rPr>
        <w:t xml:space="preserve">响应文件中需提供证书复印件及其在响应单位社保缴纳证明文件复印件，否则视为未提供，资料提供不全或无法证明的不得分</w:t>
      </w:r>
      <w:r>
        <w:rPr>
          <w:rFonts w:hint="eastAsia" w:ascii="宋体" w:hAnsi="宋体" w:cs="宋体"/>
          <w:color w:val="auto"/>
          <w:sz w:val="24"/>
          <w:highlight w:val="none"/>
        </w:rPr>
        <w:t xml:space="preserve">）</w:t>
      </w:r>
      <w:bookmarkEnd w:id="39"/>
      <w:r/>
    </w:p>
    <w:p>
      <w:pPr>
        <w:numPr>
          <w:ilvl w:val="0"/>
          <w:numId w:val="1"/>
        </w:numPr>
        <w:ind w:firstLine="480"/>
        <w:jc w:val="left"/>
        <w:spacing w:line="360" w:lineRule="auto"/>
        <w:rPr>
          <w:color w:val="auto"/>
          <w:highlight w:val="none"/>
        </w:rPr>
      </w:pPr>
      <w:r>
        <w:rPr>
          <w:rFonts w:ascii="宋体" w:hAnsi="宋体"/>
          <w:color w:val="auto"/>
          <w:highlight w:val="none"/>
        </w:rPr>
        <w:br w:type="page" w:clear="all"/>
      </w:r>
      <w:r/>
    </w:p>
    <w:p>
      <w:pPr>
        <w:jc w:val="center"/>
        <w:spacing w:line="360" w:lineRule="auto"/>
        <w:tabs>
          <w:tab w:val="left" w:pos="8930" w:leader="none"/>
          <w:tab w:val="left" w:pos="9306" w:leader="none"/>
        </w:tabs>
        <w:rPr>
          <w:rStyle w:val="894"/>
          <w:rFonts w:hint="eastAsia" w:ascii="宋体" w:hAnsi="宋体" w:cs="宋体"/>
          <w:color w:val="auto"/>
          <w:sz w:val="43"/>
          <w:szCs w:val="43"/>
          <w:highlight w:val="none"/>
        </w:rPr>
      </w:pPr>
      <w:r>
        <w:rPr>
          <w:rStyle w:val="894"/>
          <w:rFonts w:hint="eastAsia" w:ascii="宋体" w:hAnsi="宋体" w:cs="宋体"/>
          <w:color w:val="auto"/>
          <w:sz w:val="43"/>
          <w:szCs w:val="43"/>
          <w:highlight w:val="none"/>
        </w:rPr>
        <w:t xml:space="preserve">第五章 合同主要条款及格式</w:t>
      </w:r>
      <w:r/>
    </w:p>
    <w:p>
      <w:pPr>
        <w:spacing w:line="360" w:lineRule="auto"/>
        <w:tabs>
          <w:tab w:val="left" w:pos="360" w:leader="none"/>
        </w:tabs>
        <w:rPr>
          <w:color w:val="auto"/>
          <w:szCs w:val="24"/>
          <w:highlight w:val="none"/>
        </w:rPr>
      </w:pPr>
      <w:r/>
      <w:bookmarkStart w:id="37" w:name="OLE_LINK1"/>
      <w:r/>
      <w:bookmarkStart w:id="38" w:name="OLE_LINK2"/>
      <w:r>
        <w:rPr>
          <w:rFonts w:hint="eastAsia" w:ascii="宋体" w:hAnsi="宋体" w:cs="宋体"/>
          <w:color w:val="auto"/>
          <w:sz w:val="24"/>
          <w:szCs w:val="24"/>
          <w:highlight w:val="none"/>
        </w:rPr>
        <w:t xml:space="preserve">甲方（采购方）：苏州市吴中区人民政府太湖街道办事处</w:t>
      </w:r>
      <w:r/>
    </w:p>
    <w:p>
      <w:pPr>
        <w:spacing w:line="360" w:lineRule="auto"/>
        <w:tabs>
          <w:tab w:val="left" w:pos="360" w:leader="none"/>
        </w:tabs>
        <w:rPr>
          <w:color w:val="auto"/>
          <w:szCs w:val="24"/>
          <w:highlight w:val="none"/>
        </w:rPr>
      </w:pPr>
      <w:r>
        <w:rPr>
          <w:rFonts w:hint="eastAsia" w:ascii="宋体" w:hAnsi="宋体" w:cs="宋体"/>
          <w:color w:val="auto"/>
          <w:sz w:val="24"/>
          <w:szCs w:val="24"/>
          <w:highlight w:val="none"/>
        </w:rPr>
        <w:t xml:space="preserve">代表人：                    </w:t>
      </w:r>
      <w:r/>
    </w:p>
    <w:p>
      <w:pPr>
        <w:spacing w:line="360" w:lineRule="auto"/>
        <w:tabs>
          <w:tab w:val="left" w:pos="360" w:leader="none"/>
        </w:tabs>
        <w:rPr>
          <w:color w:val="auto"/>
          <w:szCs w:val="24"/>
          <w:highlight w:val="none"/>
        </w:rPr>
      </w:pPr>
      <w:r>
        <w:rPr>
          <w:rFonts w:hint="eastAsia" w:ascii="宋体" w:hAnsi="宋体" w:cs="宋体"/>
          <w:color w:val="auto"/>
          <w:sz w:val="24"/>
          <w:szCs w:val="24"/>
          <w:highlight w:val="none"/>
        </w:rPr>
        <w:t xml:space="preserve">联系电话： </w:t>
      </w:r>
      <w:r/>
    </w:p>
    <w:p>
      <w:pPr>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乙方（供应方）： </w:t>
      </w:r>
      <w:r/>
    </w:p>
    <w:p>
      <w:pPr>
        <w:spacing w:line="360" w:lineRule="auto"/>
        <w:tabs>
          <w:tab w:val="left" w:pos="360" w:leader="none"/>
        </w:tabs>
        <w:rPr>
          <w:color w:val="auto"/>
          <w:szCs w:val="24"/>
          <w:highlight w:val="none"/>
        </w:rPr>
      </w:pPr>
      <w:r>
        <w:rPr>
          <w:rFonts w:hint="eastAsia" w:ascii="宋体" w:hAnsi="宋体" w:cs="宋体"/>
          <w:color w:val="auto"/>
          <w:sz w:val="24"/>
          <w:szCs w:val="24"/>
          <w:highlight w:val="none"/>
        </w:rPr>
        <w:t xml:space="preserve">代表人：</w:t>
      </w:r>
      <w:r/>
    </w:p>
    <w:p>
      <w:pPr>
        <w:spacing w:line="360" w:lineRule="auto"/>
        <w:tabs>
          <w:tab w:val="left" w:pos="360" w:leader="none"/>
        </w:tabs>
        <w:rPr>
          <w:color w:val="auto"/>
          <w:szCs w:val="24"/>
          <w:highlight w:val="none"/>
        </w:rPr>
      </w:pPr>
      <w:r>
        <w:rPr>
          <w:rFonts w:hint="eastAsia" w:ascii="宋体" w:hAnsi="宋体" w:cs="宋体"/>
          <w:color w:val="auto"/>
          <w:sz w:val="24"/>
          <w:szCs w:val="24"/>
          <w:highlight w:val="none"/>
        </w:rPr>
        <w:t xml:space="preserve">联系电话：</w:t>
      </w:r>
      <w:r/>
    </w:p>
    <w:p>
      <w:pPr>
        <w:pStyle w:val="678"/>
        <w:ind w:left="0"/>
        <w:spacing w:line="360" w:lineRule="auto"/>
        <w:rPr>
          <w:rFonts w:hint="eastAsia"/>
          <w:color w:val="auto"/>
          <w:highlight w:val="none"/>
        </w:rPr>
      </w:pPr>
      <w:r>
        <w:rPr>
          <w:rFonts w:hint="eastAsia"/>
          <w:color w:val="auto"/>
          <w:highlight w:val="none"/>
        </w:rPr>
      </w:r>
      <w:r/>
    </w:p>
    <w:p>
      <w:pPr>
        <w:ind w:left="17"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根据鼎信工程咨询（苏州）有限公司项目编号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号政府采购文件及成交单位的响应文件和成交通知书，</w:t>
      </w:r>
      <w:r>
        <w:rPr>
          <w:rFonts w:hint="eastAsia" w:ascii="宋体" w:hAnsi="宋体"/>
          <w:color w:val="auto"/>
          <w:sz w:val="24"/>
          <w:szCs w:val="24"/>
          <w:highlight w:val="none"/>
        </w:rPr>
        <w:t xml:space="preserve">甲乙双方就此次成交的苏州市吴中区人民政府太湖街道办事处关于2026年太湖街道食堂服务项目的采购事宜</w:t>
      </w:r>
      <w:r>
        <w:rPr>
          <w:rFonts w:hint="eastAsia" w:ascii="宋体" w:hAnsi="宋体"/>
          <w:color w:val="auto"/>
          <w:sz w:val="24"/>
          <w:highlight w:val="none"/>
        </w:rPr>
        <w:t xml:space="preserve">，签订本合同书。</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一、合同内容：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1.1、项目名称：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1.2、采购编号：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1.3、项目概况、服务内容、要求、时间进度：详见采购文件。</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1.4、合同履行期限：</w:t>
      </w:r>
      <w:r>
        <w:rPr>
          <w:rFonts w:hint="eastAsia" w:ascii="宋体" w:hAnsi="宋体" w:eastAsia="宋体" w:cs="宋体"/>
          <w:color w:val="auto"/>
          <w:sz w:val="24"/>
          <w:szCs w:val="24"/>
          <w:highlight w:val="none"/>
        </w:rPr>
        <w:t xml:space="preserve">一年（</w:t>
      </w:r>
      <w:r>
        <w:rPr>
          <w:rFonts w:hint="eastAsia" w:ascii="宋体" w:hAnsi="宋体" w:eastAsia="宋体" w:cs="宋体"/>
          <w:color w:val="auto"/>
          <w:sz w:val="24"/>
          <w:szCs w:val="24"/>
          <w:highlight w:val="none"/>
          <w:lang w:val="en-US" w:eastAsia="zh-CN"/>
        </w:rPr>
        <w:t xml:space="preserve">    年   月  日-    年    月   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1.5、下列文件为本合同不可分割部分：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（1）成交通知书；    （2）乙方的响应文件；      （3）采购文件；</w:t>
      </w:r>
      <w:r/>
    </w:p>
    <w:p>
      <w:pPr>
        <w:ind w:firstLine="480"/>
        <w:spacing w:line="360" w:lineRule="auto"/>
        <w:tabs>
          <w:tab w:val="left" w:pos="768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（4）乙方在磋商过程中所作的其它承诺、声明、书面澄清等。</w:t>
      </w:r>
      <w:r>
        <w:rPr>
          <w:rFonts w:hint="eastAsia" w:ascii="宋体" w:hAnsi="宋体" w:cs="宋体"/>
          <w:color w:val="auto"/>
          <w:sz w:val="24"/>
          <w:szCs w:val="24"/>
          <w:highlight w:val="none"/>
        </w:rPr>
        <w:tab/>
      </w:r>
      <w:r/>
    </w:p>
    <w:p>
      <w:pPr>
        <w:pStyle w:val="674"/>
        <w:ind w:firstLine="48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二、合同的价格与支付：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2.1、合同金额按此次成交金额执行：人民币：</w:t>
      </w:r>
      <w:r>
        <w:rPr>
          <w:rFonts w:hint="eastAsia" w:ascii="宋体" w:hAnsi="宋体" w:cs="宋体"/>
          <w:color w:val="auto"/>
          <w:sz w:val="24"/>
          <w:szCs w:val="24"/>
          <w:highlight w:val="none"/>
          <w:u w:val="single"/>
        </w:rPr>
        <w:t xml:space="preserve">大写             （小写：   ）</w:t>
      </w:r>
      <w:r>
        <w:rPr>
          <w:rFonts w:hint="eastAsia" w:ascii="宋体" w:hAnsi="宋体" w:cs="宋体"/>
          <w:color w:val="auto"/>
          <w:sz w:val="24"/>
          <w:szCs w:val="24"/>
          <w:highlight w:val="none"/>
        </w:rPr>
        <w:t xml:space="preserve">。合同金额包括服务承包期间所有人员的工资、社保、高温费、加班费、交通费、通讯费、服装费、耗材费、管理费、各种税费、保险、利润、成交服务费、政策性文件规定及合同包含的所有风险、责任等各项应有费用。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2.2、付款步骤及方式：</w:t>
      </w:r>
      <w:r/>
    </w:p>
    <w:p>
      <w:pPr>
        <w:pStyle w:val="903"/>
        <w:ind w:firstLine="420"/>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合同价格支付：合同签订后，支付合同金额10%的预付款。在签订合同时，乙方明确表示无需预付款或者主动要求降低预付款比例的，甲方可不适用上述关于预付款的规定。合同签订乙方进场开始服务后，根据每个月考核情况，按月付款，甲方向乙方支付每月的实际考核后结算费用（每月支付的合同价款=成交价/服务期限（按12个月）-当月考核扣款）。甲方支付此项费用后，不再承担其它任何费用（包括个人），服务人员的薪金、福利、休假日补贴等由乙方付给，与甲方无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（2）付款方式：以转帐方式直接转入成交单位的账户。</w:t>
      </w:r>
      <w:r/>
    </w:p>
    <w:p>
      <w:pPr>
        <w:ind w:firstLine="480"/>
        <w:spacing w:line="360" w:lineRule="auto"/>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rPr>
        <w:t xml:space="preserve">（3）甲方每次付款</w:t>
      </w:r>
      <w:r>
        <w:rPr>
          <w:rFonts w:hint="eastAsia" w:ascii="宋体" w:hAnsi="宋体" w:cs="宋体"/>
          <w:color w:val="auto"/>
          <w:sz w:val="24"/>
          <w:szCs w:val="24"/>
          <w:highlight w:val="none"/>
          <w:lang w:eastAsia="zh-Hans"/>
        </w:rPr>
        <w:t xml:space="preserve">前</w:t>
      </w:r>
      <w:r>
        <w:rPr>
          <w:rFonts w:hint="eastAsia" w:ascii="宋体" w:hAnsi="宋体" w:cs="宋体"/>
          <w:color w:val="auto"/>
          <w:sz w:val="24"/>
          <w:szCs w:val="24"/>
          <w:highlight w:val="none"/>
        </w:rPr>
        <w:t xml:space="preserve">，乙方须提供合格的发票等甲方要求的结算凭据。</w:t>
      </w:r>
      <w:r>
        <w:rPr>
          <w:rFonts w:hint="eastAsia" w:ascii="宋体" w:hAnsi="宋体" w:cs="宋体"/>
          <w:color w:val="auto"/>
          <w:sz w:val="24"/>
          <w:szCs w:val="24"/>
          <w:highlight w:val="none"/>
          <w:lang w:eastAsia="zh-Hans"/>
        </w:rPr>
        <w:t xml:space="preserve">乙方未按要求提供的，甲方有权拒绝付款。</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三、甲方、乙方责任与义务：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3.1甲方的责任与义务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（1）按照合同规定拨付项目费用。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（2）提供服务要求及规范。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（3）审定乙方服务方案及履行合同情况。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（4）对乙方承担的项目进行</w:t>
      </w:r>
      <w:r>
        <w:rPr>
          <w:rFonts w:hint="eastAsia" w:ascii="宋体" w:hAnsi="宋体" w:cs="宋体"/>
          <w:color w:val="auto"/>
          <w:sz w:val="24"/>
          <w:szCs w:val="24"/>
          <w:highlight w:val="none"/>
          <w:lang w:eastAsia="zh-Hans"/>
        </w:rPr>
        <w:t xml:space="preserve">考核，考核标准</w:t>
      </w:r>
      <w:r>
        <w:rPr>
          <w:rFonts w:hint="eastAsia" w:ascii="宋体" w:hAnsi="宋体" w:cs="宋体"/>
          <w:color w:val="auto"/>
          <w:sz w:val="24"/>
          <w:szCs w:val="24"/>
          <w:highlight w:val="none"/>
        </w:rPr>
        <w:t xml:space="preserve">详见附件。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（5）协助处理与各部门的关系，以便于服务工作的顺利进行。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3.2乙方的责任与义务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（1）乙方应自己负责实施合同期间其工作人员的包括但不限于通讯、差旅、交通、水电、资料收集以及用工器具的搬迁等一切费用。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（2）乙方投标文件中明确的人员、设备与进场人员、设备应该一致，乙方不得随意更换，如未经甲方许可随意更换人员及设备，</w:t>
      </w:r>
      <w:r>
        <w:rPr>
          <w:rFonts w:hint="eastAsia" w:ascii="宋体" w:hAnsi="宋体" w:cs="宋体"/>
          <w:color w:val="auto"/>
          <w:sz w:val="24"/>
          <w:szCs w:val="24"/>
          <w:highlight w:val="none"/>
          <w:lang w:eastAsia="zh-Hans"/>
        </w:rPr>
        <w:t xml:space="preserve">视为</w:t>
      </w:r>
      <w:r>
        <w:rPr>
          <w:rFonts w:hint="eastAsia" w:ascii="宋体" w:hAnsi="宋体" w:cs="宋体"/>
          <w:color w:val="auto"/>
          <w:sz w:val="24"/>
          <w:szCs w:val="24"/>
          <w:highlight w:val="none"/>
        </w:rPr>
        <w:t xml:space="preserve">乙方违约</w:t>
      </w:r>
      <w:r>
        <w:rPr>
          <w:rFonts w:hint="eastAsia" w:ascii="宋体" w:hAnsi="宋体" w:cs="宋体"/>
          <w:color w:val="auto"/>
          <w:sz w:val="24"/>
          <w:szCs w:val="24"/>
          <w:highlight w:val="none"/>
          <w:lang w:eastAsia="zh-Hans"/>
        </w:rPr>
        <w:t xml:space="preserve">，甲方有权解除合同</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（3）乙方应根据甲方的要求，以及规范、规程等进行项目的实施。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（4）验收费用包含在合同总价之内。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应对员工进行岗位职责和安全教育，加强岗位责任考核，在从事服务工作中应当做到文明工作，采取必要的安全防范措施，合同期内若发生消防事故、安全事故、治安案件、刑事案件及其人身财产损害的，乙方应承担全部责任，并负责赔偿由此造成的损失，与甲方无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）乙方应对接受其服务的被服务对象的人身安全负责，严禁出现严重伤害被照料对象情形发生；若服务对象在参与活动时发生意外或纠纷，由乙方负责协调解决，与</w:t>
      </w:r>
      <w:r>
        <w:rPr>
          <w:rFonts w:hint="eastAsia" w:ascii="宋体" w:hAnsi="宋体" w:cs="宋体"/>
          <w:color w:val="auto"/>
          <w:sz w:val="24"/>
          <w:szCs w:val="24"/>
          <w:highlight w:val="none"/>
        </w:rPr>
        <w:t xml:space="preserve">甲方无关。</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（7）乙方应建立完整工作台账，</w:t>
      </w:r>
      <w:r>
        <w:rPr>
          <w:rFonts w:hint="eastAsia" w:ascii="宋体" w:hAnsi="宋体" w:cs="宋体"/>
          <w:color w:val="auto"/>
          <w:sz w:val="24"/>
          <w:szCs w:val="24"/>
          <w:highlight w:val="none"/>
          <w:lang w:eastAsia="zh-Hans"/>
        </w:rPr>
        <w:t xml:space="preserve">每季度</w:t>
      </w:r>
      <w:r>
        <w:rPr>
          <w:rFonts w:hint="eastAsia" w:ascii="宋体" w:hAnsi="宋体" w:cs="宋体"/>
          <w:color w:val="auto"/>
          <w:sz w:val="24"/>
          <w:szCs w:val="24"/>
          <w:highlight w:val="none"/>
          <w:lang w:val="zh-CN"/>
        </w:rPr>
        <w:t xml:space="preserve">乙方应向甲方移交全部工作台账及其他全部档案资料。</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四、服务要求：</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4.1在项目服务期间，项目人员不得随意变更，如确需调整须经甲方书面同意。对于乙方工作人员确因患病、与乙方解除或终止劳动关系、工伤等乙方不可控原因更换乙方人员的，甲方应当同意更换。</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乙方应严格按照磋商文件的有关规定提供服务，满足磋商文件中所列全部要求和乙方承诺的其它指标，并由甲方按照具体项目要求进行考核。对未按规定提供服务或者部分服务不合格的，视具体情况按比例扣除。</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4.3验收标准：符合采购文件规定的要求，由采购单位组织人员考核验收。（具体验收要求参照苏财规【2024】7号文）</w:t>
      </w:r>
      <w:r/>
    </w:p>
    <w:p>
      <w:pPr>
        <w:numPr>
          <w:ilvl w:val="0"/>
          <w:numId w:val="2"/>
        </w:num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按照磋商文件要求和考核标准，供应商需要配合采购人在履约期内进行考核验收。</w:t>
      </w:r>
      <w:r/>
    </w:p>
    <w:p>
      <w:pPr>
        <w:numPr>
          <w:ilvl w:val="0"/>
          <w:numId w:val="2"/>
        </w:numPr>
        <w:ind w:firstLine="480"/>
        <w:spacing w:line="360" w:lineRule="auto"/>
        <w:tabs>
          <w:tab w:val="left" w:pos="360" w:leader="none"/>
        </w:tabs>
        <w:rPr>
          <w:color w:val="auto"/>
          <w:sz w:val="24"/>
          <w:szCs w:val="24"/>
          <w:highlight w:val="none"/>
        </w:rPr>
      </w:pPr>
      <w:r>
        <w:rPr>
          <w:rFonts w:hint="eastAsia" w:ascii="宋体" w:hAnsi="宋体" w:cs="宋体"/>
          <w:color w:val="auto"/>
          <w:sz w:val="24"/>
          <w:szCs w:val="24"/>
          <w:highlight w:val="none"/>
        </w:rPr>
        <w:t xml:space="preserve">根据考核结果进行相应扣款，不符合采购要求的，采购方有权终止合同，一切损失由成交方承担。</w:t>
      </w:r>
      <w:r/>
    </w:p>
    <w:p>
      <w:pPr>
        <w:pStyle w:val="674"/>
        <w:ind w:firstLine="48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五、违约责任：</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5.1甲方的违约</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（1）甲方未按合同的约定支付</w:t>
      </w:r>
      <w:r>
        <w:rPr>
          <w:rFonts w:hint="eastAsia" w:ascii="宋体" w:hAnsi="宋体" w:eastAsia="宋体" w:cs="宋体"/>
          <w:color w:val="auto"/>
          <w:sz w:val="24"/>
          <w:szCs w:val="24"/>
          <w:highlight w:val="none"/>
          <w:lang w:eastAsia="zh-Hans"/>
        </w:rPr>
        <w:t xml:space="preserve">服务费</w:t>
      </w:r>
      <w:r>
        <w:rPr>
          <w:rFonts w:hint="eastAsia" w:ascii="宋体" w:hAnsi="宋体" w:eastAsia="宋体" w:cs="宋体"/>
          <w:color w:val="auto"/>
          <w:sz w:val="24"/>
          <w:szCs w:val="24"/>
          <w:highlight w:val="none"/>
        </w:rPr>
        <w:t xml:space="preserve">给乙方</w:t>
      </w:r>
      <w:r>
        <w:rPr>
          <w:rFonts w:hint="eastAsia" w:ascii="宋体" w:hAnsi="宋体" w:eastAsia="宋体" w:cs="宋体"/>
          <w:color w:val="auto"/>
          <w:sz w:val="24"/>
          <w:szCs w:val="24"/>
          <w:highlight w:val="none"/>
          <w:lang w:eastAsia="zh-Hans"/>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承担违约责任</w:t>
      </w:r>
      <w:r>
        <w:rPr>
          <w:rFonts w:hint="eastAsia" w:ascii="宋体" w:hAnsi="宋体" w:eastAsia="宋体" w:cs="宋体"/>
          <w:color w:val="auto"/>
          <w:sz w:val="24"/>
          <w:szCs w:val="24"/>
          <w:highlight w:val="none"/>
        </w:rPr>
        <w:t xml:space="preserve">。</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5.2乙方的违约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乙方应采取一切措施防范及避免其工作人员或外来第三人发生其他任何故意或重大过失伤害被服务对象的行为，否则除应向受害方承担相应法律责任外，还应向甲方承担合同总价款10%的违约金，甲方有权暂停支付季度服务费，直至乙方妥善解决伤害事件等。</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（2）乙方需保证</w:t>
      </w:r>
      <w:r>
        <w:rPr>
          <w:rFonts w:hint="eastAsia" w:ascii="宋体" w:hAnsi="宋体" w:eastAsia="宋体" w:cs="宋体"/>
          <w:color w:val="auto"/>
          <w:sz w:val="24"/>
          <w:szCs w:val="24"/>
          <w:highlight w:val="none"/>
          <w:lang w:eastAsia="zh-Hans"/>
        </w:rPr>
        <w:t xml:space="preserve">按甲方通知时间进场提供服务</w:t>
      </w:r>
      <w:r>
        <w:rPr>
          <w:rFonts w:hint="eastAsia" w:ascii="宋体" w:hAnsi="宋体" w:eastAsia="宋体" w:cs="宋体"/>
          <w:color w:val="auto"/>
          <w:sz w:val="24"/>
          <w:szCs w:val="24"/>
          <w:highlight w:val="none"/>
        </w:rPr>
        <w:t xml:space="preserve">，由于乙方原因而导致</w:t>
      </w:r>
      <w:r>
        <w:rPr>
          <w:rFonts w:hint="eastAsia" w:ascii="宋体" w:hAnsi="宋体" w:eastAsia="宋体" w:cs="宋体"/>
          <w:color w:val="auto"/>
          <w:sz w:val="24"/>
          <w:szCs w:val="24"/>
          <w:highlight w:val="none"/>
          <w:lang w:eastAsia="zh-Hans"/>
        </w:rPr>
        <w:t xml:space="preserve">逾期进场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Hans"/>
        </w:rPr>
        <w:t xml:space="preserve">每逾期一日，应当支付合同总价万分之四的违约金。逾期</w:t>
      </w:r>
      <w:r>
        <w:rPr>
          <w:rFonts w:hint="eastAsia" w:ascii="宋体" w:hAnsi="宋体" w:eastAsia="宋体" w:cs="宋体"/>
          <w:color w:val="auto"/>
          <w:sz w:val="24"/>
          <w:szCs w:val="24"/>
          <w:highlight w:val="none"/>
        </w:rPr>
        <w:t xml:space="preserve">超过30天的，甲方有权解除合同，并要求乙方</w:t>
      </w:r>
      <w:r>
        <w:rPr>
          <w:rFonts w:hint="eastAsia" w:ascii="宋体" w:hAnsi="宋体" w:eastAsia="宋体" w:cs="宋体"/>
          <w:color w:val="auto"/>
          <w:sz w:val="24"/>
          <w:szCs w:val="24"/>
          <w:highlight w:val="none"/>
          <w:lang w:eastAsia="zh-Hans"/>
        </w:rPr>
        <w:t xml:space="preserve">支付合同总价10%的违约金</w:t>
      </w:r>
      <w:r>
        <w:rPr>
          <w:rFonts w:hint="eastAsia" w:ascii="宋体" w:hAnsi="宋体" w:eastAsia="宋体" w:cs="宋体"/>
          <w:color w:val="auto"/>
          <w:sz w:val="24"/>
          <w:szCs w:val="24"/>
          <w:highlight w:val="none"/>
        </w:rPr>
        <w:t xml:space="preserve">。</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（3）乙方必须保证</w:t>
      </w:r>
      <w:r>
        <w:rPr>
          <w:rFonts w:hint="eastAsia" w:ascii="宋体" w:hAnsi="宋体" w:eastAsia="宋体" w:cs="宋体"/>
          <w:color w:val="auto"/>
          <w:sz w:val="24"/>
          <w:szCs w:val="24"/>
          <w:highlight w:val="none"/>
          <w:lang w:eastAsia="zh-Hans"/>
        </w:rPr>
        <w:t xml:space="preserve">实际进场的</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eastAsia="zh-Hans"/>
        </w:rPr>
        <w:t xml:space="preserve">与响应文件一致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未经甲方同意，</w:t>
      </w:r>
      <w:r>
        <w:rPr>
          <w:rFonts w:hint="eastAsia" w:ascii="宋体" w:hAnsi="宋体" w:eastAsia="宋体" w:cs="宋体"/>
          <w:color w:val="auto"/>
          <w:sz w:val="24"/>
          <w:szCs w:val="24"/>
          <w:highlight w:val="none"/>
        </w:rPr>
        <w:t xml:space="preserve">人员不得更换；</w:t>
      </w:r>
      <w:r>
        <w:rPr>
          <w:rFonts w:hint="eastAsia" w:ascii="宋体" w:hAnsi="宋体" w:eastAsia="宋体" w:cs="宋体"/>
          <w:color w:val="auto"/>
          <w:sz w:val="24"/>
          <w:szCs w:val="24"/>
          <w:highlight w:val="none"/>
          <w:lang w:eastAsia="zh-Hans"/>
        </w:rPr>
        <w:t xml:space="preserve">乙方擅自更换的</w:t>
      </w:r>
      <w:r>
        <w:rPr>
          <w:rFonts w:hint="eastAsia" w:ascii="宋体" w:hAnsi="宋体" w:eastAsia="宋体" w:cs="宋体"/>
          <w:color w:val="auto"/>
          <w:sz w:val="24"/>
          <w:szCs w:val="24"/>
          <w:highlight w:val="none"/>
        </w:rPr>
        <w:t xml:space="preserve">，甲方有权</w:t>
      </w:r>
      <w:r>
        <w:rPr>
          <w:rFonts w:hint="eastAsia" w:ascii="宋体" w:hAnsi="宋体" w:eastAsia="宋体" w:cs="宋体"/>
          <w:color w:val="auto"/>
          <w:sz w:val="24"/>
          <w:szCs w:val="24"/>
          <w:highlight w:val="none"/>
          <w:lang w:eastAsia="zh-Hans"/>
        </w:rPr>
        <w:t xml:space="preserve">解除</w:t>
      </w:r>
      <w:r>
        <w:rPr>
          <w:rFonts w:hint="eastAsia" w:ascii="宋体" w:hAnsi="宋体" w:eastAsia="宋体" w:cs="宋体"/>
          <w:color w:val="auto"/>
          <w:sz w:val="24"/>
          <w:szCs w:val="24"/>
          <w:highlight w:val="none"/>
        </w:rPr>
        <w:t xml:space="preserve">合同，同时乙方应按本合同总价的10%</w:t>
      </w:r>
      <w:r>
        <w:rPr>
          <w:rFonts w:hint="eastAsia" w:ascii="宋体" w:hAnsi="宋体" w:eastAsia="宋体" w:cs="宋体"/>
          <w:color w:val="auto"/>
          <w:sz w:val="24"/>
          <w:szCs w:val="24"/>
          <w:highlight w:val="none"/>
          <w:lang w:eastAsia="zh-Hans"/>
        </w:rPr>
        <w:t xml:space="preserve">支付违约金</w:t>
      </w:r>
      <w:r>
        <w:rPr>
          <w:rFonts w:hint="eastAsia" w:ascii="宋体" w:hAnsi="宋体" w:eastAsia="宋体" w:cs="宋体"/>
          <w:color w:val="auto"/>
          <w:sz w:val="24"/>
          <w:szCs w:val="24"/>
          <w:highlight w:val="none"/>
        </w:rPr>
        <w:t xml:space="preserve">。但乙方人员确因患病、与乙方解除或终止劳动人事关系、工伤等乙方不可控原因确需更换的，甲方应当同意更换，不视为乙方违约。</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Hans"/>
        </w:rPr>
        <w:t xml:space="preserve">认为乙方人员</w:t>
      </w:r>
      <w:r>
        <w:rPr>
          <w:rFonts w:hint="eastAsia" w:ascii="宋体" w:hAnsi="宋体" w:eastAsia="宋体" w:cs="宋体"/>
          <w:color w:val="auto"/>
          <w:sz w:val="24"/>
          <w:szCs w:val="24"/>
          <w:highlight w:val="none"/>
        </w:rPr>
        <w:t xml:space="preserve">无法胜任所在</w:t>
      </w:r>
      <w:r>
        <w:rPr>
          <w:rFonts w:hint="eastAsia" w:ascii="宋体" w:hAnsi="宋体" w:eastAsia="宋体" w:cs="宋体"/>
          <w:color w:val="auto"/>
          <w:sz w:val="24"/>
          <w:szCs w:val="24"/>
          <w:highlight w:val="none"/>
          <w:lang w:eastAsia="zh-Hans"/>
        </w:rPr>
        <w:t xml:space="preserve">岗位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有权要求乙方在合理期限内更换，乙方逾期未更换的，视为违约，</w:t>
      </w:r>
      <w:r>
        <w:rPr>
          <w:rFonts w:hint="eastAsia" w:ascii="宋体" w:hAnsi="宋体" w:eastAsia="宋体" w:cs="宋体"/>
          <w:color w:val="auto"/>
          <w:sz w:val="24"/>
          <w:szCs w:val="24"/>
          <w:highlight w:val="none"/>
        </w:rPr>
        <w:t xml:space="preserve">甲方有权</w:t>
      </w:r>
      <w:r>
        <w:rPr>
          <w:rFonts w:hint="eastAsia" w:ascii="宋体" w:hAnsi="宋体" w:eastAsia="宋体" w:cs="宋体"/>
          <w:color w:val="auto"/>
          <w:sz w:val="24"/>
          <w:szCs w:val="24"/>
          <w:highlight w:val="none"/>
          <w:lang w:eastAsia="zh-Hans"/>
        </w:rPr>
        <w:t xml:space="preserve">解除</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同时乙方应按本合同总价的10%</w:t>
      </w:r>
      <w:r>
        <w:rPr>
          <w:rFonts w:hint="eastAsia" w:ascii="宋体" w:hAnsi="宋体" w:eastAsia="宋体" w:cs="宋体"/>
          <w:color w:val="auto"/>
          <w:sz w:val="24"/>
          <w:szCs w:val="24"/>
          <w:highlight w:val="none"/>
          <w:lang w:eastAsia="zh-Hans"/>
        </w:rPr>
        <w:t xml:space="preserve">支付违约金。</w:t>
      </w:r>
      <w:r/>
    </w:p>
    <w:p>
      <w:pPr>
        <w:pStyle w:val="674"/>
        <w:ind w:firstLine="480"/>
        <w:spacing w:after="0"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Hans"/>
        </w:rPr>
        <w:t xml:space="preserve">）乙方在季度考核中累计两次不合格的，</w:t>
      </w:r>
      <w:r>
        <w:rPr>
          <w:rFonts w:hint="eastAsia" w:ascii="宋体" w:hAnsi="宋体" w:eastAsia="宋体" w:cs="宋体"/>
          <w:color w:val="auto"/>
          <w:sz w:val="24"/>
          <w:szCs w:val="24"/>
          <w:highlight w:val="none"/>
        </w:rPr>
        <w:t xml:space="preserve">甲方有权</w:t>
      </w:r>
      <w:r>
        <w:rPr>
          <w:rFonts w:hint="eastAsia" w:ascii="宋体" w:hAnsi="宋体" w:eastAsia="宋体" w:cs="宋体"/>
          <w:color w:val="auto"/>
          <w:sz w:val="24"/>
          <w:szCs w:val="24"/>
          <w:highlight w:val="none"/>
          <w:lang w:eastAsia="zh-Hans"/>
        </w:rPr>
        <w:t xml:space="preserve">解除</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同时乙方应按本合同总价的10%</w:t>
      </w:r>
      <w:r>
        <w:rPr>
          <w:rFonts w:hint="eastAsia" w:ascii="宋体" w:hAnsi="宋体" w:eastAsia="宋体" w:cs="宋体"/>
          <w:color w:val="auto"/>
          <w:sz w:val="24"/>
          <w:szCs w:val="24"/>
          <w:highlight w:val="none"/>
          <w:lang w:eastAsia="zh-Hans"/>
        </w:rPr>
        <w:t xml:space="preserve">支付违约金。</w:t>
      </w:r>
      <w:r/>
    </w:p>
    <w:p>
      <w:pPr>
        <w:pStyle w:val="674"/>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5.3如果发生了第5.1款或第5.2款所述的情况，则利益受到损害的一方</w:t>
      </w:r>
      <w:r>
        <w:rPr>
          <w:rFonts w:hint="eastAsia" w:ascii="宋体" w:hAnsi="宋体" w:eastAsia="宋体" w:cs="宋体"/>
          <w:color w:val="auto"/>
          <w:sz w:val="24"/>
          <w:szCs w:val="24"/>
          <w:highlight w:val="none"/>
          <w:lang w:eastAsia="zh-Hans"/>
        </w:rPr>
        <w:t xml:space="preserve">同时</w:t>
      </w:r>
      <w:r>
        <w:rPr>
          <w:rFonts w:hint="eastAsia" w:ascii="宋体" w:hAnsi="宋体" w:eastAsia="宋体" w:cs="宋体"/>
          <w:color w:val="auto"/>
          <w:sz w:val="24"/>
          <w:szCs w:val="24"/>
          <w:highlight w:val="none"/>
        </w:rPr>
        <w:t xml:space="preserve">有权向另一方提出索赔，但赔偿应限于下列情况：</w:t>
      </w:r>
      <w:r/>
    </w:p>
    <w:p>
      <w:pPr>
        <w:pStyle w:val="674"/>
        <w:ind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赔偿应是因违约</w:t>
      </w:r>
      <w:r>
        <w:rPr>
          <w:rFonts w:hint="eastAsia" w:ascii="宋体" w:hAnsi="宋体" w:eastAsia="宋体" w:cs="宋体"/>
          <w:color w:val="auto"/>
          <w:sz w:val="24"/>
          <w:szCs w:val="24"/>
          <w:highlight w:val="none"/>
          <w:lang w:eastAsia="zh-Hans"/>
        </w:rPr>
        <w:t xml:space="preserve">或侵权</w:t>
      </w:r>
      <w:r>
        <w:rPr>
          <w:rFonts w:hint="eastAsia" w:ascii="宋体" w:hAnsi="宋体" w:eastAsia="宋体" w:cs="宋体"/>
          <w:color w:val="auto"/>
          <w:sz w:val="24"/>
          <w:szCs w:val="24"/>
          <w:highlight w:val="none"/>
        </w:rPr>
        <w:t xml:space="preserve">所造成的可合理预见的损失或损害的数额</w:t>
      </w:r>
      <w:r>
        <w:rPr>
          <w:rFonts w:hint="eastAsia" w:ascii="宋体" w:hAnsi="宋体" w:eastAsia="宋体" w:cs="宋体"/>
          <w:color w:val="auto"/>
          <w:sz w:val="24"/>
          <w:szCs w:val="24"/>
          <w:highlight w:val="none"/>
          <w:lang w:eastAsia="zh-Hans"/>
        </w:rPr>
        <w:t xml:space="preserve">（包括</w:t>
      </w:r>
      <w:r>
        <w:rPr>
          <w:rFonts w:hint="eastAsia" w:ascii="宋体" w:hAnsi="宋体" w:eastAsia="宋体" w:cs="宋体"/>
          <w:color w:val="auto"/>
          <w:sz w:val="24"/>
          <w:szCs w:val="24"/>
          <w:highlight w:val="none"/>
        </w:rPr>
        <w:t xml:space="preserve">但不限于</w:t>
      </w:r>
      <w:r>
        <w:rPr>
          <w:rFonts w:hint="eastAsia" w:ascii="宋体" w:hAnsi="宋体" w:eastAsia="宋体" w:cs="宋体"/>
          <w:color w:val="auto"/>
          <w:sz w:val="24"/>
          <w:szCs w:val="24"/>
          <w:highlight w:val="none"/>
          <w:lang w:eastAsia="zh-Hans"/>
        </w:rPr>
        <w:t xml:space="preserve">诉讼费、违约金、损害赔偿金以及为追偿损失所支出的诉讼费用、诉责险费用、律师费等）</w:t>
      </w:r>
      <w:r>
        <w:rPr>
          <w:rFonts w:hint="eastAsia" w:ascii="宋体" w:hAnsi="宋体" w:eastAsia="宋体" w:cs="宋体"/>
          <w:color w:val="auto"/>
          <w:sz w:val="24"/>
          <w:szCs w:val="24"/>
          <w:highlight w:val="none"/>
        </w:rPr>
        <w:t xml:space="preserve">；</w:t>
      </w:r>
      <w:r/>
    </w:p>
    <w:p>
      <w:pPr>
        <w:pStyle w:val="674"/>
        <w:ind w:firstLine="48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六、其它：</w:t>
      </w:r>
      <w:r/>
    </w:p>
    <w:p>
      <w:pPr>
        <w:pStyle w:val="674"/>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6.1法律和法规：本合同必须服从国家的现行法律和法规，对合同的解释应以国家的现行法律和法规为准。</w:t>
      </w:r>
      <w:r/>
    </w:p>
    <w:p>
      <w:pPr>
        <w:pStyle w:val="674"/>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6.2转让和分包</w:t>
      </w:r>
      <w:r/>
    </w:p>
    <w:p>
      <w:pPr>
        <w:pStyle w:val="674"/>
        <w:ind w:firstLine="24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（1）禁止乙方将本合同规定的任务转让</w:t>
      </w:r>
      <w:r>
        <w:rPr>
          <w:rFonts w:hint="eastAsia" w:ascii="宋体" w:hAnsi="宋体" w:eastAsia="宋体" w:cs="宋体"/>
          <w:bCs/>
          <w:color w:val="auto"/>
          <w:sz w:val="24"/>
          <w:szCs w:val="24"/>
          <w:highlight w:val="none"/>
          <w:lang w:eastAsia="zh-Hans"/>
        </w:rPr>
        <w:t xml:space="preserve">给第三方</w:t>
      </w:r>
      <w:r>
        <w:rPr>
          <w:rFonts w:hint="eastAsia" w:ascii="宋体" w:hAnsi="宋体" w:eastAsia="宋体" w:cs="宋体"/>
          <w:bCs/>
          <w:color w:val="auto"/>
          <w:sz w:val="24"/>
          <w:szCs w:val="24"/>
          <w:highlight w:val="none"/>
        </w:rPr>
        <w:t xml:space="preserve">。</w:t>
      </w:r>
      <w:r/>
    </w:p>
    <w:p>
      <w:pPr>
        <w:pStyle w:val="674"/>
        <w:ind w:firstLine="24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（2）禁止乙方将本合同规定的任务分包给第三方。</w:t>
      </w:r>
      <w:r/>
    </w:p>
    <w:p>
      <w:pPr>
        <w:pStyle w:val="674"/>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6.3争端的解决</w:t>
      </w:r>
      <w:r/>
    </w:p>
    <w:p>
      <w:pPr>
        <w:pStyle w:val="674"/>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w:t>
      </w:r>
      <w:r>
        <w:rPr>
          <w:rFonts w:hint="eastAsia" w:ascii="宋体" w:hAnsi="宋体" w:eastAsia="宋体" w:cs="宋体"/>
          <w:bCs/>
          <w:color w:val="auto"/>
          <w:sz w:val="24"/>
          <w:szCs w:val="24"/>
          <w:highlight w:val="none"/>
        </w:rPr>
        <w:t xml:space="preserve">协商不成时可提交甲方所在地人民法院起诉，费用由败诉方承担。</w:t>
      </w:r>
      <w:r/>
    </w:p>
    <w:p>
      <w:pPr>
        <w:pStyle w:val="674"/>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6.4保密性</w:t>
      </w:r>
      <w:r/>
    </w:p>
    <w:p>
      <w:pPr>
        <w:pStyle w:val="674"/>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了根据合同履行义务和遵守适用法律以外，双方应将合同的详情视为秘密，规划编制单位应对业主提供的基础资料负保密责任。没有甲方事先同意，不得在任何商业或技术论文或其它场合发表或允许发表、或透露项目的任何细节。</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七、不可抗力：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 合同一方因不可抗力不能履行合同的，应当及时通知对方，以减轻可能给对方造成的损失，并应当在合理期限内提供证明。</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八、合同的解除和转让：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甲方和乙方协商一致，可以解除合同。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有下列情形之一，合同一方可以解除合同：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8.2.1 因不可抗力致使不能实现合同目的，未受不可抗力影响的一方有权解除合同；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8.2.2 因合同一方违约导致合同不能履行，另一方有权解除合同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8.2.3 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 合同的部分和全部都不得转让。</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九、合同的生效：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本合同经双方法定（授权）代表人签字（或盖章）并盖单位公章后生效，同时须政府采购监督管理部门网上备案。</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十、附则：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 合同份数：本合同一式八份，甲方四份，乙方二份、采购代理机构一份，政府采购管理机构备案一份。具有同等法律效力。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本合同文件使用中文书写、解释和说明。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 本合同履行过程中产生的纪要、协议以及成交通知书、采购响应文件和采购文件为本合同的附件，与合同具有同等效力。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 未尽事宜：按有关的法律法规的规定执行。</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十一、未尽事宜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本合同未尽事宜应按《中华人民共和国民法典》、《中华人民共和国政府采购法》等规定解释。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（以下无正文）</w:t>
      </w:r>
      <w:r/>
    </w:p>
    <w:tbl>
      <w:tblPr>
        <w:tblStyle w:val="673"/>
        <w:tblW w:w="962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71"/>
        <w:gridCol w:w="4657"/>
      </w:tblGrid>
      <w:tr>
        <w:trPr>
          <w:jc w:val="center"/>
          <w:trHeight w:val="830"/>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jc w:val="left"/>
              <w:spacing w:line="360" w:lineRule="auto"/>
              <w:rPr>
                <w:color w:val="auto"/>
                <w:highlight w:val="none"/>
              </w:rPr>
            </w:pPr>
            <w:r>
              <w:rPr>
                <w:rFonts w:hint="eastAsia"/>
                <w:color w:val="auto"/>
                <w:highlight w:val="none"/>
              </w:rPr>
              <w:t xml:space="preserve">采购单位（采购人/发包人）（公章）：</w:t>
            </w:r>
            <w:r/>
          </w:p>
          <w:p>
            <w:pPr>
              <w:spacing w:line="360" w:lineRule="auto"/>
              <w:rPr>
                <w:color w:val="auto"/>
                <w:highlight w:val="none"/>
              </w:rPr>
            </w:pPr>
            <w:r>
              <w:rPr>
                <w:color w:val="auto"/>
                <w:highlight w:val="none"/>
              </w:rPr>
            </w:r>
            <w:r/>
          </w:p>
          <w:p>
            <w:pPr>
              <w:pStyle w:val="686"/>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供应商（服务单位）（公章）：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30"/>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住所：</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住所：</w:t>
            </w:r>
            <w:r/>
          </w:p>
        </w:tc>
      </w:tr>
      <w:tr>
        <w:trPr>
          <w:jc w:val="center"/>
          <w:trHeight w:val="571"/>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法定代表人（签章）：</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法定代表人（签章）：</w:t>
            </w:r>
            <w:r/>
          </w:p>
        </w:tc>
      </w:tr>
      <w:tr>
        <w:trPr>
          <w:jc w:val="center"/>
          <w:trHeight w:val="571"/>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委托代理人（签字）：</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委托代理人（签字）：</w:t>
            </w:r>
            <w:r/>
          </w:p>
        </w:tc>
      </w:tr>
      <w:tr>
        <w:trPr>
          <w:jc w:val="center"/>
          <w:trHeight w:val="551"/>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r>
      <w:tr>
        <w:trPr>
          <w:jc w:val="center"/>
          <w:trHeight w:val="551"/>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w:t>
            </w:r>
            <w:r/>
          </w:p>
        </w:tc>
      </w:tr>
      <w:tr>
        <w:trPr>
          <w:jc w:val="center"/>
          <w:trHeight w:val="551"/>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r>
      <w:tr>
        <w:trPr>
          <w:jc w:val="center"/>
          <w:trHeight w:val="551"/>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r>
      <w:tr>
        <w:trPr>
          <w:jc w:val="center"/>
          <w:trHeight w:val="551"/>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数币账号</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数币账号</w:t>
            </w:r>
            <w:r/>
          </w:p>
        </w:tc>
      </w:tr>
      <w:tr>
        <w:trPr>
          <w:jc w:val="center"/>
        </w:trPr>
        <w:tc>
          <w:tcPr>
            <w:tcBorders>
              <w:top w:val="none" w:color="000000" w:sz="4" w:space="0"/>
              <w:left w:val="none" w:color="000000" w:sz="4" w:space="0"/>
              <w:bottom w:val="none" w:color="000000" w:sz="4" w:space="0"/>
              <w:right w:val="none" w:color="000000" w:sz="4" w:space="0"/>
            </w:tcBorders>
            <w:tcW w:w="4971"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w:t>
            </w:r>
            <w:r/>
          </w:p>
        </w:tc>
        <w:tc>
          <w:tcPr>
            <w:tcBorders>
              <w:top w:val="none" w:color="000000" w:sz="4" w:space="0"/>
              <w:left w:val="none" w:color="000000" w:sz="4" w:space="0"/>
              <w:bottom w:val="none" w:color="000000" w:sz="4" w:space="0"/>
              <w:right w:val="none" w:color="000000" w:sz="4" w:space="0"/>
            </w:tcBorders>
            <w:tcW w:w="465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w:t>
            </w:r>
            <w:r/>
          </w:p>
        </w:tc>
      </w:tr>
    </w:tbl>
    <w:p>
      <w:pPr>
        <w:widowControl/>
        <w:rPr>
          <w:rFonts w:hint="eastAsia" w:ascii="宋体" w:hAnsi="宋体" w:cs="宋体"/>
          <w:color w:val="auto"/>
          <w:sz w:val="24"/>
          <w:szCs w:val="24"/>
          <w:highlight w:val="none"/>
        </w:rPr>
      </w:pPr>
      <w:r>
        <w:rPr>
          <w:rFonts w:ascii="宋体" w:hAnsi="宋体"/>
          <w:b/>
          <w:color w:val="auto"/>
          <w:sz w:val="30"/>
          <w:szCs w:val="30"/>
          <w:highlight w:val="none"/>
        </w:rPr>
        <w:br w:type="page" w:clear="all"/>
      </w:r>
      <w:r>
        <w:rPr>
          <w:rFonts w:hint="eastAsia" w:ascii="宋体" w:hAnsi="宋体" w:cs="宋体"/>
          <w:b/>
          <w:bCs/>
          <w:color w:val="auto"/>
          <w:sz w:val="24"/>
          <w:szCs w:val="24"/>
          <w:highlight w:val="none"/>
        </w:rPr>
        <w:t xml:space="preserve">附件1：</w:t>
      </w:r>
      <w:r>
        <w:rPr>
          <w:rFonts w:hint="eastAsia" w:ascii="宋体" w:hAnsi="宋体" w:cs="宋体"/>
          <w:color w:val="auto"/>
          <w:sz w:val="24"/>
          <w:szCs w:val="24"/>
          <w:highlight w:val="none"/>
        </w:rPr>
        <w:t xml:space="preserve">考核标准：采购人组织采购小组每月对中标单位进行考核，按本考核标准进行考核，处罚标准：考核总分≥90，按照月度全额进行支付；考核总分＜90分开始起扣处罚，每扣减一分处罚500元，罚金从当月费用中扣除。一年内连续3个月考核不合格或累计4个月不合格，甲方有权终止合同。</w:t>
      </w:r>
      <w:r/>
    </w:p>
    <w:tbl>
      <w:tblPr>
        <w:tblStyle w:val="704"/>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7271"/>
        <w:gridCol w:w="1000"/>
        <w:gridCol w:w="1000"/>
      </w:tblGrid>
      <w:tr>
        <w:trPr>
          <w:trHeight w:val="720"/>
        </w:trPr>
        <w:tc>
          <w:tcPr>
            <w:tcW w:w="529"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7271"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考核内容</w:t>
            </w:r>
            <w:r/>
          </w:p>
        </w:tc>
        <w:tc>
          <w:tcPr>
            <w:tcW w:w="1000"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分值（分）</w:t>
            </w:r>
            <w:r/>
          </w:p>
        </w:tc>
        <w:tc>
          <w:tcPr>
            <w:tcW w:w="1000"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得分（分）</w:t>
            </w:r>
            <w:r/>
          </w:p>
        </w:tc>
      </w:tr>
      <w:tr>
        <w:trPr>
          <w:trHeight w:val="743"/>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服务需着装统一，工作人员统一穿着公司配备的专用上衣、裤子，系好围裙，佩戴健康证。违者一项一次罚款20元。</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每天备餐前首先明确就餐人数；备餐等情况。如有发现未执行，一次罚款10元。</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佩戴一次性口罩、手套、及餐具摆放规范。如有发现不规范者罚款20元/次。</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29"/>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提前对窗口保温箱进行加热，并放好所有的餐食。如有发现不按规范操作者罚款20元/次</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07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服务人员做到热情周到，微笑服务，语言规范，文明礼貌。在工作期间不得与采购单位员工发生任何争执，如有违者处一次50~200元罚款。</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45"/>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就餐期间服务人员做到及时巡查，及时处理可能出现的任何问题。不得到催促单位人员结束用餐。</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菜肴新鲜，色泽、口味好。由于没有清洗干净的原材料就进行烹饪造成饭菜中有异物的，视情节轻重罚款20~100元/次。</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菜肴花色更新及时，一周内提供3次以上完全不相同品种菜肴；根据季节调整菜肴。</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244"/>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加工食品时不许染指甲、戴戒指、要洗手消毒、不穿戴工作服、帽进入厕所、不随地吐痰、不乱扔废弃物。加工食品时不吸烟、不挖鼻孔、不捣耳朵、不对着食品打喷嚏。违者一项一次罚款20元。</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064"/>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食堂餐具要严格执行消毒规定，餐具、茶具、熟食容器餐后应清洗消毒做到使用一次清洗消毒一次，消毒要按一刮、二洗、三冲、四消毒、五保洁顺序操作。如有发现不符合要求，一次罚款20元。</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0"/>
        </w:trPr>
        <w:tc>
          <w:tcPr>
            <w:tcW w:w="5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727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及时关闭水电气等能源，避免造成浪费。如有发现未及时关闭，造成浪费一次罚款50元。</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76"/>
        </w:trPr>
        <w:tc>
          <w:tcPr>
            <w:gridSpan w:val="2"/>
            <w:tcW w:w="78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bookmarkEnd w:id="37"/>
      <w:r/>
      <w:bookmarkEnd w:id="38"/>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附件2</w:t>
      </w:r>
      <w:r/>
    </w:p>
    <w:p>
      <w:pPr>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政府采购履约验收书(服务类)</w:t>
      </w:r>
      <w:r/>
    </w:p>
    <w:tbl>
      <w:tblPr>
        <w:tblStyle w:val="911"/>
        <w:tblW w:w="942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8"/>
        <w:gridCol w:w="1137"/>
        <w:gridCol w:w="1204"/>
        <w:gridCol w:w="1112"/>
        <w:gridCol w:w="533"/>
        <w:gridCol w:w="1133"/>
        <w:gridCol w:w="1517"/>
        <w:gridCol w:w="1708"/>
      </w:tblGrid>
      <w:tr>
        <w:trPr>
          <w:trHeight w:val="538"/>
        </w:trPr>
        <w:tc>
          <w:tcPr>
            <w:tcW w:w="1078" w:type="dxa"/>
            <w:textDirection w:val="lrTb"/>
            <w:noWrap w:val="false"/>
          </w:tcPr>
          <w:p>
            <w:pPr>
              <w:spacing w:before="298" w:line="207" w:lineRule="auto"/>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采购人</w:t>
            </w:r>
            <w:r/>
          </w:p>
        </w:tc>
        <w:tc>
          <w:tcPr>
            <w:tcW w:w="1137" w:type="dxa"/>
            <w:textDirection w:val="lrTb"/>
            <w:noWrap w:val="false"/>
          </w:tcPr>
          <w:p>
            <w:pPr>
              <w:pStyle w:val="912"/>
              <w:rPr>
                <w:color w:val="auto"/>
                <w:highlight w:val="none"/>
              </w:rPr>
            </w:pPr>
            <w:r>
              <w:rPr>
                <w:color w:val="auto"/>
                <w:highlight w:val="none"/>
              </w:rPr>
            </w:r>
            <w:r/>
          </w:p>
        </w:tc>
        <w:tc>
          <w:tcPr>
            <w:tcW w:w="1204" w:type="dxa"/>
            <w:textDirection w:val="lrTb"/>
            <w:noWrap w:val="false"/>
          </w:tcPr>
          <w:p>
            <w:pPr>
              <w:spacing w:before="298" w:line="208" w:lineRule="auto"/>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项目名称</w:t>
            </w:r>
            <w:r/>
          </w:p>
        </w:tc>
        <w:tc>
          <w:tcPr>
            <w:gridSpan w:val="2"/>
            <w:tcW w:w="1645" w:type="dxa"/>
            <w:textDirection w:val="lrTb"/>
            <w:noWrap w:val="false"/>
          </w:tcPr>
          <w:p>
            <w:pPr>
              <w:pStyle w:val="912"/>
              <w:rPr>
                <w:color w:val="auto"/>
                <w:highlight w:val="none"/>
              </w:rPr>
            </w:pPr>
            <w:r>
              <w:rPr>
                <w:color w:val="auto"/>
                <w:highlight w:val="none"/>
              </w:rPr>
            </w:r>
            <w:r/>
          </w:p>
        </w:tc>
        <w:tc>
          <w:tcPr>
            <w:gridSpan w:val="2"/>
            <w:tcW w:w="2650" w:type="dxa"/>
            <w:textDirection w:val="lrTb"/>
            <w:noWrap w:val="false"/>
          </w:tcPr>
          <w:p>
            <w:pPr>
              <w:spacing w:before="298" w:line="207"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合同名称</w:t>
            </w:r>
            <w:r/>
          </w:p>
        </w:tc>
        <w:tc>
          <w:tcPr>
            <w:tcW w:w="1708" w:type="dxa"/>
            <w:textDirection w:val="lrTb"/>
            <w:noWrap w:val="false"/>
          </w:tcPr>
          <w:p>
            <w:pPr>
              <w:pStyle w:val="912"/>
              <w:rPr>
                <w:color w:val="auto"/>
                <w:highlight w:val="none"/>
              </w:rPr>
            </w:pPr>
            <w:r>
              <w:rPr>
                <w:color w:val="auto"/>
                <w:highlight w:val="none"/>
              </w:rPr>
            </w:r>
            <w:r/>
          </w:p>
        </w:tc>
      </w:tr>
      <w:tr>
        <w:trPr>
          <w:trHeight w:val="668"/>
        </w:trPr>
        <w:tc>
          <w:tcPr>
            <w:tcW w:w="1078" w:type="dxa"/>
            <w:textDirection w:val="lrTb"/>
            <w:noWrap w:val="false"/>
          </w:tcPr>
          <w:p>
            <w:pPr>
              <w:spacing w:before="298" w:line="207" w:lineRule="auto"/>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供应商</w:t>
            </w:r>
            <w:r/>
          </w:p>
        </w:tc>
        <w:tc>
          <w:tcPr>
            <w:tcW w:w="1137" w:type="dxa"/>
            <w:textDirection w:val="lrTb"/>
            <w:noWrap w:val="false"/>
          </w:tcPr>
          <w:p>
            <w:pPr>
              <w:pStyle w:val="912"/>
              <w:rPr>
                <w:color w:val="auto"/>
                <w:highlight w:val="none"/>
              </w:rPr>
            </w:pPr>
            <w:r>
              <w:rPr>
                <w:color w:val="auto"/>
                <w:highlight w:val="none"/>
              </w:rPr>
            </w:r>
            <w:r/>
          </w:p>
        </w:tc>
        <w:tc>
          <w:tcPr>
            <w:tcW w:w="1204" w:type="dxa"/>
            <w:textDirection w:val="lrTb"/>
            <w:noWrap w:val="false"/>
          </w:tcPr>
          <w:p>
            <w:pPr>
              <w:spacing w:before="298" w:line="207"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项目及合同编号</w:t>
            </w:r>
            <w:r/>
          </w:p>
        </w:tc>
        <w:tc>
          <w:tcPr>
            <w:gridSpan w:val="2"/>
            <w:tcW w:w="1645" w:type="dxa"/>
            <w:textDirection w:val="lrTb"/>
            <w:noWrap w:val="false"/>
          </w:tcPr>
          <w:p>
            <w:pPr>
              <w:pStyle w:val="912"/>
              <w:rPr>
                <w:color w:val="auto"/>
                <w:highlight w:val="none"/>
              </w:rPr>
            </w:pPr>
            <w:r>
              <w:rPr>
                <w:color w:val="auto"/>
                <w:highlight w:val="none"/>
              </w:rPr>
            </w:r>
            <w:r/>
          </w:p>
        </w:tc>
        <w:tc>
          <w:tcPr>
            <w:gridSpan w:val="2"/>
            <w:tcW w:w="2650" w:type="dxa"/>
            <w:textDirection w:val="lrTb"/>
            <w:noWrap w:val="false"/>
          </w:tcPr>
          <w:p>
            <w:pPr>
              <w:spacing w:before="298"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合同金额</w:t>
            </w:r>
            <w:r/>
          </w:p>
        </w:tc>
        <w:tc>
          <w:tcPr>
            <w:tcW w:w="1708" w:type="dxa"/>
            <w:textDirection w:val="lrTb"/>
            <w:noWrap w:val="false"/>
          </w:tcPr>
          <w:p>
            <w:pPr>
              <w:pStyle w:val="912"/>
              <w:rPr>
                <w:color w:val="auto"/>
                <w:highlight w:val="none"/>
              </w:rPr>
            </w:pPr>
            <w:r>
              <w:rPr>
                <w:color w:val="auto"/>
                <w:highlight w:val="none"/>
              </w:rPr>
            </w:r>
            <w:r/>
          </w:p>
        </w:tc>
      </w:tr>
      <w:tr>
        <w:trPr>
          <w:trHeight w:val="713"/>
        </w:trPr>
        <w:tc>
          <w:tcPr>
            <w:tcW w:w="1078" w:type="dxa"/>
            <w:textDirection w:val="lrTb"/>
            <w:noWrap w:val="false"/>
          </w:tcPr>
          <w:p>
            <w:pPr>
              <w:spacing w:before="267" w:line="240" w:lineRule="exact"/>
              <w:rPr>
                <w:rFonts w:hint="eastAsia"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分期（段）验收</w:t>
            </w:r>
            <w:r/>
          </w:p>
        </w:tc>
        <w:tc>
          <w:tcPr>
            <w:tcW w:w="1137" w:type="dxa"/>
            <w:textDirection w:val="lrTb"/>
            <w:noWrap w:val="false"/>
          </w:tcPr>
          <w:p>
            <w:pPr>
              <w:spacing w:before="267" w:line="240" w:lineRule="exact"/>
              <w:rPr>
                <w:rFonts w:hint="eastAsia" w:ascii="宋体" w:hAnsi="宋体" w:cs="宋体"/>
                <w:color w:val="auto"/>
                <w:sz w:val="18"/>
                <w:szCs w:val="18"/>
                <w:highlight w:val="none"/>
              </w:rPr>
            </w:pPr>
            <w:r>
              <w:rPr>
                <w:rFonts w:ascii="宋体" w:hAnsi="宋体" w:cs="宋体"/>
                <w:color w:val="auto"/>
                <w:spacing w:val="-6"/>
                <w:position w:val="1"/>
                <w:sz w:val="18"/>
                <w:szCs w:val="18"/>
                <w:highlight w:val="none"/>
              </w:rPr>
              <w:t xml:space="preserve">是□</w:t>
            </w:r>
            <w:r>
              <w:rPr>
                <w:rFonts w:ascii="宋体" w:hAnsi="宋体" w:cs="宋体"/>
                <w:color w:val="auto"/>
                <w:spacing w:val="4"/>
                <w:position w:val="1"/>
                <w:sz w:val="18"/>
                <w:szCs w:val="18"/>
                <w:highlight w:val="none"/>
              </w:rPr>
              <w:t xml:space="preserve">   </w:t>
            </w:r>
            <w:r>
              <w:rPr>
                <w:rFonts w:ascii="宋体" w:hAnsi="宋体" w:cs="宋体"/>
                <w:color w:val="auto"/>
                <w:spacing w:val="-6"/>
                <w:position w:val="1"/>
                <w:sz w:val="18"/>
                <w:szCs w:val="18"/>
                <w:highlight w:val="none"/>
              </w:rPr>
              <w:t xml:space="preserve">否□</w:t>
            </w:r>
            <w:r/>
          </w:p>
        </w:tc>
        <w:tc>
          <w:tcPr>
            <w:tcW w:w="1204" w:type="dxa"/>
            <w:textDirection w:val="lrTb"/>
            <w:noWrap w:val="false"/>
          </w:tcPr>
          <w:p>
            <w:pPr>
              <w:spacing w:before="267" w:line="240" w:lineRule="exact"/>
              <w:rPr>
                <w:rFonts w:hint="eastAsia"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分期（段）情况</w:t>
            </w:r>
            <w:r/>
          </w:p>
        </w:tc>
        <w:tc>
          <w:tcPr>
            <w:gridSpan w:val="5"/>
            <w:tcW w:w="6003" w:type="dxa"/>
            <w:textDirection w:val="lrTb"/>
            <w:noWrap w:val="false"/>
          </w:tcPr>
          <w:p>
            <w:pPr>
              <w:spacing w:before="267" w:line="240" w:lineRule="exact"/>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596"/>
        </w:trPr>
        <w:tc>
          <w:tcPr>
            <w:tcW w:w="1078" w:type="dxa"/>
            <w:textDirection w:val="lrTb"/>
            <w:noWrap w:val="false"/>
          </w:tcPr>
          <w:p>
            <w:pPr>
              <w:pStyle w:val="912"/>
              <w:spacing w:line="264" w:lineRule="auto"/>
              <w:rPr>
                <w:color w:val="auto"/>
                <w:highlight w:val="none"/>
                <w:lang w:eastAsia="zh-CN"/>
              </w:rPr>
            </w:pPr>
            <w:r>
              <w:rPr>
                <w:color w:val="auto"/>
                <w:highlight w:val="none"/>
                <w:lang w:eastAsia="zh-CN"/>
              </w:rPr>
            </w:r>
            <w:r/>
          </w:p>
          <w:p>
            <w:pPr>
              <w:pStyle w:val="912"/>
              <w:spacing w:line="264" w:lineRule="auto"/>
              <w:rPr>
                <w:color w:val="auto"/>
                <w:highlight w:val="none"/>
                <w:lang w:eastAsia="zh-CN"/>
              </w:rPr>
            </w:pPr>
            <w:r>
              <w:rPr>
                <w:color w:val="auto"/>
                <w:highlight w:val="none"/>
                <w:lang w:eastAsia="zh-CN"/>
              </w:rPr>
            </w:r>
            <w:r/>
          </w:p>
          <w:p>
            <w:pPr>
              <w:pStyle w:val="912"/>
              <w:spacing w:line="265" w:lineRule="auto"/>
              <w:rPr>
                <w:color w:val="auto"/>
                <w:highlight w:val="none"/>
                <w:lang w:eastAsia="zh-CN"/>
              </w:rPr>
            </w:pPr>
            <w:r>
              <w:rPr>
                <w:color w:val="auto"/>
                <w:highlight w:val="none"/>
                <w:lang w:eastAsia="zh-CN"/>
              </w:rPr>
            </w:r>
            <w:r/>
          </w:p>
          <w:p>
            <w:pPr>
              <w:spacing w:before="58"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验收时间</w:t>
            </w:r>
            <w:r/>
          </w:p>
        </w:tc>
        <w:tc>
          <w:tcPr>
            <w:tcW w:w="1137" w:type="dxa"/>
            <w:textDirection w:val="lrTb"/>
            <w:noWrap w:val="false"/>
          </w:tcPr>
          <w:p>
            <w:pPr>
              <w:pStyle w:val="912"/>
              <w:rPr>
                <w:color w:val="auto"/>
                <w:highlight w:val="none"/>
              </w:rPr>
            </w:pPr>
            <w:r>
              <w:rPr>
                <w:color w:val="auto"/>
                <w:highlight w:val="none"/>
              </w:rPr>
            </w:r>
            <w:r/>
          </w:p>
        </w:tc>
        <w:tc>
          <w:tcPr>
            <w:tcW w:w="1204" w:type="dxa"/>
            <w:textDirection w:val="lrTb"/>
            <w:noWrap w:val="false"/>
          </w:tcPr>
          <w:p>
            <w:pPr>
              <w:pStyle w:val="912"/>
              <w:spacing w:line="264" w:lineRule="auto"/>
              <w:rPr>
                <w:color w:val="auto"/>
                <w:highlight w:val="none"/>
              </w:rPr>
            </w:pPr>
            <w:r>
              <w:rPr>
                <w:color w:val="auto"/>
                <w:highlight w:val="none"/>
              </w:rPr>
            </w:r>
            <w:r/>
          </w:p>
          <w:p>
            <w:pPr>
              <w:pStyle w:val="912"/>
              <w:spacing w:line="264" w:lineRule="auto"/>
              <w:rPr>
                <w:color w:val="auto"/>
                <w:highlight w:val="none"/>
              </w:rPr>
            </w:pPr>
            <w:r>
              <w:rPr>
                <w:color w:val="auto"/>
                <w:highlight w:val="none"/>
              </w:rPr>
            </w:r>
            <w:r/>
          </w:p>
          <w:p>
            <w:pPr>
              <w:pStyle w:val="912"/>
              <w:spacing w:line="265" w:lineRule="auto"/>
              <w:rPr>
                <w:color w:val="auto"/>
                <w:highlight w:val="none"/>
              </w:rPr>
            </w:pPr>
            <w:r>
              <w:rPr>
                <w:color w:val="auto"/>
                <w:highlight w:val="none"/>
              </w:rPr>
            </w:r>
            <w:r/>
          </w:p>
          <w:p>
            <w:pPr>
              <w:spacing w:before="58"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验收地点</w:t>
            </w:r>
            <w:r/>
          </w:p>
        </w:tc>
        <w:tc>
          <w:tcPr>
            <w:gridSpan w:val="2"/>
            <w:tcW w:w="1645" w:type="dxa"/>
            <w:textDirection w:val="lrTb"/>
            <w:noWrap w:val="false"/>
          </w:tcPr>
          <w:p>
            <w:pPr>
              <w:pStyle w:val="912"/>
              <w:rPr>
                <w:color w:val="auto"/>
                <w:highlight w:val="none"/>
              </w:rPr>
            </w:pPr>
            <w:r>
              <w:rPr>
                <w:color w:val="auto"/>
                <w:highlight w:val="none"/>
              </w:rPr>
            </w:r>
            <w:r/>
          </w:p>
        </w:tc>
        <w:tc>
          <w:tcPr>
            <w:gridSpan w:val="2"/>
            <w:tcW w:w="2650" w:type="dxa"/>
            <w:textDirection w:val="lrTb"/>
            <w:noWrap w:val="false"/>
          </w:tcPr>
          <w:p>
            <w:pPr>
              <w:pStyle w:val="912"/>
              <w:spacing w:line="264" w:lineRule="auto"/>
              <w:rPr>
                <w:color w:val="auto"/>
                <w:highlight w:val="none"/>
              </w:rPr>
            </w:pPr>
            <w:r>
              <w:rPr>
                <w:color w:val="auto"/>
                <w:highlight w:val="none"/>
              </w:rPr>
            </w:r>
            <w:r/>
          </w:p>
          <w:p>
            <w:pPr>
              <w:pStyle w:val="912"/>
              <w:spacing w:line="264" w:lineRule="auto"/>
              <w:rPr>
                <w:color w:val="auto"/>
                <w:highlight w:val="none"/>
              </w:rPr>
            </w:pPr>
            <w:r>
              <w:rPr>
                <w:color w:val="auto"/>
                <w:highlight w:val="none"/>
              </w:rPr>
            </w:r>
            <w:r/>
          </w:p>
          <w:p>
            <w:pPr>
              <w:pStyle w:val="912"/>
              <w:spacing w:line="265" w:lineRule="auto"/>
              <w:rPr>
                <w:color w:val="auto"/>
                <w:highlight w:val="none"/>
              </w:rPr>
            </w:pPr>
            <w:r>
              <w:rPr>
                <w:color w:val="auto"/>
                <w:highlight w:val="none"/>
              </w:rPr>
            </w:r>
            <w:r/>
          </w:p>
          <w:p>
            <w:pPr>
              <w:spacing w:before="59"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验收组织形式</w:t>
            </w:r>
            <w:r/>
          </w:p>
        </w:tc>
        <w:tc>
          <w:tcPr>
            <w:tcW w:w="1708" w:type="dxa"/>
            <w:textDirection w:val="lrTb"/>
            <w:noWrap w:val="false"/>
          </w:tcPr>
          <w:p>
            <w:pPr>
              <w:spacing w:before="267" w:line="239" w:lineRule="exact"/>
              <w:rPr>
                <w:rFonts w:hint="eastAsia"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w:t>
            </w:r>
            <w:r>
              <w:rPr>
                <w:rFonts w:ascii="宋体" w:hAnsi="宋体" w:cs="宋体"/>
                <w:color w:val="auto"/>
                <w:spacing w:val="-4"/>
                <w:position w:val="1"/>
                <w:sz w:val="18"/>
                <w:szCs w:val="18"/>
                <w:highlight w:val="none"/>
              </w:rPr>
              <w:t xml:space="preserve">自行简易验收</w:t>
            </w:r>
            <w:r/>
          </w:p>
          <w:p>
            <w:pPr>
              <w:pStyle w:val="912"/>
              <w:spacing w:line="260" w:lineRule="auto"/>
              <w:rPr>
                <w:color w:val="auto"/>
                <w:highlight w:val="none"/>
                <w:lang w:eastAsia="zh-CN"/>
              </w:rPr>
            </w:pPr>
            <w:r>
              <w:rPr>
                <w:color w:val="auto"/>
                <w:highlight w:val="none"/>
                <w:lang w:eastAsia="zh-CN"/>
              </w:rPr>
            </w:r>
            <w:r/>
          </w:p>
          <w:p>
            <w:pPr>
              <w:spacing w:before="58" w:line="240" w:lineRule="exact"/>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912"/>
              <w:spacing w:line="262" w:lineRule="auto"/>
              <w:rPr>
                <w:color w:val="auto"/>
                <w:highlight w:val="none"/>
                <w:lang w:eastAsia="zh-CN"/>
              </w:rPr>
            </w:pPr>
            <w:r>
              <w:rPr>
                <w:color w:val="auto"/>
                <w:highlight w:val="none"/>
                <w:lang w:eastAsia="zh-CN"/>
              </w:rPr>
            </w:r>
            <w:r/>
          </w:p>
          <w:p>
            <w:pPr>
              <w:spacing w:before="58" w:line="239" w:lineRule="exact"/>
              <w:rPr>
                <w:rFonts w:hint="eastAsia" w:ascii="宋体" w:hAnsi="宋体" w:cs="宋体"/>
                <w:color w:val="auto"/>
                <w:sz w:val="18"/>
                <w:szCs w:val="18"/>
                <w:highlight w:val="none"/>
              </w:rPr>
            </w:pPr>
            <w:r>
              <w:rPr>
                <w:rFonts w:hint="eastAsia" w:ascii="宋体" w:hAnsi="宋体" w:cs="宋体"/>
                <w:color w:val="auto"/>
                <w:spacing w:val="-3"/>
                <w:position w:val="1"/>
                <w:sz w:val="18"/>
                <w:szCs w:val="18"/>
                <w:highlight w:val="none"/>
              </w:rPr>
              <w:t xml:space="preserve">□</w:t>
            </w:r>
            <w:r>
              <w:rPr>
                <w:rFonts w:ascii="宋体" w:hAnsi="宋体" w:cs="宋体"/>
                <w:color w:val="auto"/>
                <w:spacing w:val="-3"/>
                <w:position w:val="1"/>
                <w:sz w:val="18"/>
                <w:szCs w:val="18"/>
                <w:highlight w:val="none"/>
              </w:rPr>
              <w:t xml:space="preserve">采购代理机构验收</w:t>
            </w:r>
            <w:r/>
          </w:p>
        </w:tc>
      </w:tr>
      <w:tr>
        <w:trPr>
          <w:trHeight w:val="671"/>
        </w:trPr>
        <w:tc>
          <w:tcPr>
            <w:tcBorders>
              <w:bottom w:val="none" w:color="000000" w:sz="4" w:space="0"/>
            </w:tcBorders>
            <w:tcW w:w="1078" w:type="dxa"/>
            <w:vMerge w:val="restart"/>
            <w:textDirection w:val="lrTb"/>
            <w:noWrap w:val="false"/>
          </w:tcPr>
          <w:p>
            <w:pPr>
              <w:pStyle w:val="912"/>
              <w:spacing w:line="265" w:lineRule="auto"/>
              <w:rPr>
                <w:color w:val="auto"/>
                <w:highlight w:val="none"/>
              </w:rPr>
            </w:pPr>
            <w:r>
              <w:rPr>
                <w:color w:val="auto"/>
                <w:highlight w:val="none"/>
              </w:rPr>
            </w:r>
            <w:r/>
          </w:p>
          <w:p>
            <w:pPr>
              <w:pStyle w:val="912"/>
              <w:spacing w:line="265" w:lineRule="auto"/>
              <w:rPr>
                <w:color w:val="auto"/>
                <w:highlight w:val="none"/>
              </w:rPr>
            </w:pPr>
            <w:r>
              <w:rPr>
                <w:color w:val="auto"/>
                <w:highlight w:val="none"/>
              </w:rPr>
            </w:r>
            <w:r/>
          </w:p>
          <w:p>
            <w:pPr>
              <w:pStyle w:val="912"/>
              <w:spacing w:line="266" w:lineRule="auto"/>
              <w:rPr>
                <w:color w:val="auto"/>
                <w:highlight w:val="none"/>
              </w:rPr>
            </w:pPr>
            <w:r>
              <w:rPr>
                <w:color w:val="auto"/>
                <w:highlight w:val="none"/>
              </w:rPr>
            </w:r>
            <w:r/>
          </w:p>
          <w:p>
            <w:pPr>
              <w:spacing w:before="58"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验收内容</w:t>
            </w:r>
            <w:r/>
          </w:p>
        </w:tc>
        <w:tc>
          <w:tcPr>
            <w:tcW w:w="1137" w:type="dxa"/>
            <w:textDirection w:val="lrTb"/>
            <w:noWrap w:val="false"/>
          </w:tcPr>
          <w:p>
            <w:pPr>
              <w:spacing w:before="298"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服务质量</w:t>
            </w:r>
            <w:r/>
          </w:p>
        </w:tc>
        <w:tc>
          <w:tcPr>
            <w:tcW w:w="1204" w:type="dxa"/>
            <w:textDirection w:val="lrTb"/>
            <w:noWrap w:val="false"/>
          </w:tcPr>
          <w:p>
            <w:pPr>
              <w:spacing w:before="298"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服务进度</w:t>
            </w:r>
            <w:r/>
          </w:p>
        </w:tc>
        <w:tc>
          <w:tcPr>
            <w:gridSpan w:val="2"/>
            <w:tcW w:w="1645" w:type="dxa"/>
            <w:textDirection w:val="lrTb"/>
            <w:noWrap w:val="false"/>
          </w:tcPr>
          <w:p>
            <w:pPr>
              <w:spacing w:before="298" w:line="207" w:lineRule="auto"/>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人员、设备 配备情况</w:t>
            </w:r>
            <w:r/>
          </w:p>
        </w:tc>
        <w:tc>
          <w:tcPr>
            <w:tcW w:w="1133" w:type="dxa"/>
            <w:textDirection w:val="lrTb"/>
            <w:noWrap w:val="false"/>
          </w:tcPr>
          <w:p>
            <w:pPr>
              <w:spacing w:before="297" w:line="209"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行业、安全标准</w:t>
            </w:r>
            <w:r/>
          </w:p>
        </w:tc>
        <w:tc>
          <w:tcPr>
            <w:tcW w:w="1517" w:type="dxa"/>
            <w:textDirection w:val="lrTb"/>
            <w:noWrap w:val="false"/>
          </w:tcPr>
          <w:p>
            <w:pPr>
              <w:spacing w:before="298"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项目需求、服务承诺</w:t>
            </w:r>
            <w:r/>
          </w:p>
        </w:tc>
        <w:tc>
          <w:tcPr>
            <w:tcW w:w="1708" w:type="dxa"/>
            <w:textDirection w:val="lrTb"/>
            <w:noWrap w:val="false"/>
          </w:tcPr>
          <w:p>
            <w:pPr>
              <w:spacing w:before="299" w:line="208" w:lineRule="auto"/>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合同履约时间、 地点、方式</w:t>
            </w:r>
            <w:r/>
          </w:p>
        </w:tc>
      </w:tr>
      <w:tr>
        <w:trPr>
          <w:trHeight w:val="1065"/>
        </w:trPr>
        <w:tc>
          <w:tcPr>
            <w:tcBorders>
              <w:top w:val="none" w:color="000000" w:sz="4" w:space="0"/>
            </w:tcBorders>
            <w:tcW w:w="1078" w:type="dxa"/>
            <w:vMerge w:val="continue"/>
            <w:textDirection w:val="lrTb"/>
            <w:noWrap w:val="false"/>
          </w:tcPr>
          <w:p>
            <w:pPr>
              <w:pStyle w:val="912"/>
              <w:rPr>
                <w:color w:val="auto"/>
                <w:highlight w:val="none"/>
                <w:lang w:eastAsia="zh-CN"/>
              </w:rPr>
            </w:pPr>
            <w:r>
              <w:rPr>
                <w:color w:val="auto"/>
                <w:highlight w:val="none"/>
                <w:lang w:eastAsia="zh-CN"/>
              </w:rPr>
            </w:r>
            <w:r/>
          </w:p>
        </w:tc>
        <w:tc>
          <w:tcPr>
            <w:tcW w:w="1137" w:type="dxa"/>
            <w:textDirection w:val="lrTb"/>
            <w:noWrap w:val="false"/>
          </w:tcPr>
          <w:p>
            <w:pPr>
              <w:spacing w:before="270" w:line="239" w:lineRule="exact"/>
              <w:rPr>
                <w:rFonts w:hint="eastAsia" w:ascii="宋体" w:hAnsi="宋体" w:cs="宋体"/>
                <w:color w:val="auto"/>
                <w:sz w:val="18"/>
                <w:szCs w:val="18"/>
                <w:highlight w:val="none"/>
              </w:rPr>
            </w:pPr>
            <w:r>
              <w:rPr>
                <w:rFonts w:ascii="宋体" w:hAnsi="宋体" w:cs="宋体"/>
                <w:color w:val="auto"/>
                <w:spacing w:val="-5"/>
                <w:position w:val="1"/>
                <w:sz w:val="18"/>
                <w:szCs w:val="18"/>
                <w:highlight w:val="none"/>
              </w:rPr>
              <w:t xml:space="preserve">合</w:t>
            </w:r>
            <w:r>
              <w:rPr>
                <w:rFonts w:ascii="宋体" w:hAnsi="宋体" w:cs="宋体"/>
                <w:color w:val="auto"/>
                <w:spacing w:val="3"/>
                <w:position w:val="1"/>
                <w:sz w:val="18"/>
                <w:szCs w:val="18"/>
                <w:highlight w:val="none"/>
              </w:rPr>
              <w:t xml:space="preserve">  </w:t>
            </w:r>
            <w:r>
              <w:rPr>
                <w:rFonts w:ascii="宋体" w:hAnsi="宋体" w:cs="宋体"/>
                <w:color w:val="auto"/>
                <w:spacing w:val="-5"/>
                <w:position w:val="1"/>
                <w:sz w:val="18"/>
                <w:szCs w:val="18"/>
                <w:highlight w:val="none"/>
              </w:rPr>
              <w:t xml:space="preserve">格□</w:t>
            </w:r>
            <w:r/>
          </w:p>
          <w:p>
            <w:pPr>
              <w:pStyle w:val="912"/>
              <w:spacing w:line="259" w:lineRule="auto"/>
              <w:rPr>
                <w:color w:val="auto"/>
                <w:highlight w:val="none"/>
              </w:rPr>
            </w:pPr>
            <w:r>
              <w:rPr>
                <w:color w:val="auto"/>
                <w:highlight w:val="none"/>
              </w:rPr>
            </w:r>
            <w:r/>
          </w:p>
          <w:p>
            <w:pPr>
              <w:spacing w:before="59" w:line="239" w:lineRule="exact"/>
              <w:rPr>
                <w:rFonts w:hint="eastAsia" w:ascii="宋体" w:hAnsi="宋体" w:cs="宋体"/>
                <w:color w:val="auto"/>
                <w:sz w:val="18"/>
                <w:szCs w:val="18"/>
                <w:highlight w:val="none"/>
              </w:rPr>
            </w:pPr>
            <w:r>
              <w:rPr>
                <w:rFonts w:ascii="宋体" w:hAnsi="宋体" w:cs="宋体"/>
                <w:color w:val="auto"/>
                <w:spacing w:val="-3"/>
                <w:position w:val="1"/>
                <w:sz w:val="18"/>
                <w:szCs w:val="18"/>
                <w:highlight w:val="none"/>
              </w:rPr>
              <w:t xml:space="preserve">不合格□</w:t>
            </w:r>
            <w:r/>
          </w:p>
        </w:tc>
        <w:tc>
          <w:tcPr>
            <w:tcW w:w="1204" w:type="dxa"/>
            <w:textDirection w:val="lrTb"/>
            <w:noWrap w:val="false"/>
          </w:tcPr>
          <w:p>
            <w:pPr>
              <w:spacing w:before="270" w:line="239" w:lineRule="exact"/>
              <w:rPr>
                <w:rFonts w:hint="eastAsia" w:ascii="宋体" w:hAnsi="宋体" w:cs="宋体"/>
                <w:color w:val="auto"/>
                <w:sz w:val="18"/>
                <w:szCs w:val="18"/>
                <w:highlight w:val="none"/>
              </w:rPr>
            </w:pPr>
            <w:r>
              <w:rPr>
                <w:rFonts w:ascii="宋体" w:hAnsi="宋体" w:cs="宋体"/>
                <w:color w:val="auto"/>
                <w:spacing w:val="-8"/>
                <w:position w:val="1"/>
                <w:sz w:val="18"/>
                <w:szCs w:val="18"/>
                <w:highlight w:val="none"/>
              </w:rPr>
              <w:t xml:space="preserve">按</w:t>
            </w:r>
            <w:r>
              <w:rPr>
                <w:rFonts w:ascii="宋体" w:hAnsi="宋体" w:cs="宋体"/>
                <w:color w:val="auto"/>
                <w:spacing w:val="7"/>
                <w:position w:val="1"/>
                <w:sz w:val="18"/>
                <w:szCs w:val="18"/>
                <w:highlight w:val="none"/>
              </w:rPr>
              <w:t xml:space="preserve">  </w:t>
            </w:r>
            <w:r>
              <w:rPr>
                <w:rFonts w:ascii="宋体" w:hAnsi="宋体" w:cs="宋体"/>
                <w:color w:val="auto"/>
                <w:spacing w:val="-8"/>
                <w:position w:val="1"/>
                <w:sz w:val="18"/>
                <w:szCs w:val="18"/>
                <w:highlight w:val="none"/>
              </w:rPr>
              <w:t xml:space="preserve">时□</w:t>
            </w:r>
            <w:r/>
          </w:p>
          <w:p>
            <w:pPr>
              <w:pStyle w:val="912"/>
              <w:spacing w:line="259" w:lineRule="auto"/>
              <w:rPr>
                <w:color w:val="auto"/>
                <w:highlight w:val="none"/>
              </w:rPr>
            </w:pPr>
            <w:r>
              <w:rPr>
                <w:color w:val="auto"/>
                <w:highlight w:val="none"/>
              </w:rPr>
            </w:r>
            <w:r/>
          </w:p>
          <w:p>
            <w:pPr>
              <w:spacing w:before="59" w:line="239" w:lineRule="exact"/>
              <w:rPr>
                <w:rFonts w:hint="eastAsia" w:ascii="宋体" w:hAnsi="宋体" w:cs="宋体"/>
                <w:color w:val="auto"/>
                <w:sz w:val="18"/>
                <w:szCs w:val="18"/>
                <w:highlight w:val="none"/>
              </w:rPr>
            </w:pPr>
            <w:r>
              <w:rPr>
                <w:rFonts w:ascii="宋体" w:hAnsi="宋体" w:cs="宋体"/>
                <w:color w:val="auto"/>
                <w:spacing w:val="-3"/>
                <w:position w:val="1"/>
                <w:sz w:val="18"/>
                <w:szCs w:val="18"/>
                <w:highlight w:val="none"/>
              </w:rPr>
              <w:t xml:space="preserve">不按时□</w:t>
            </w:r>
            <w:r/>
          </w:p>
        </w:tc>
        <w:tc>
          <w:tcPr>
            <w:gridSpan w:val="2"/>
            <w:tcW w:w="1645" w:type="dxa"/>
            <w:textDirection w:val="lrTb"/>
            <w:noWrap w:val="false"/>
          </w:tcPr>
          <w:p>
            <w:pPr>
              <w:spacing w:before="270" w:line="239" w:lineRule="exact"/>
              <w:rPr>
                <w:rFonts w:hint="eastAsia" w:ascii="宋体" w:hAnsi="宋体" w:cs="宋体"/>
                <w:color w:val="auto"/>
                <w:sz w:val="18"/>
                <w:szCs w:val="18"/>
                <w:highlight w:val="none"/>
              </w:rPr>
            </w:pPr>
            <w:r>
              <w:rPr>
                <w:rFonts w:ascii="宋体" w:hAnsi="宋体" w:cs="宋体"/>
                <w:color w:val="auto"/>
                <w:spacing w:val="-5"/>
                <w:position w:val="1"/>
                <w:sz w:val="18"/>
                <w:szCs w:val="18"/>
                <w:highlight w:val="none"/>
              </w:rPr>
              <w:t xml:space="preserve">合</w:t>
            </w:r>
            <w:r>
              <w:rPr>
                <w:rFonts w:ascii="宋体" w:hAnsi="宋体" w:cs="宋体"/>
                <w:color w:val="auto"/>
                <w:spacing w:val="3"/>
                <w:position w:val="1"/>
                <w:sz w:val="18"/>
                <w:szCs w:val="18"/>
                <w:highlight w:val="none"/>
              </w:rPr>
              <w:t xml:space="preserve">  </w:t>
            </w:r>
            <w:r>
              <w:rPr>
                <w:rFonts w:ascii="宋体" w:hAnsi="宋体" w:cs="宋体"/>
                <w:color w:val="auto"/>
                <w:spacing w:val="-5"/>
                <w:position w:val="1"/>
                <w:sz w:val="18"/>
                <w:szCs w:val="18"/>
                <w:highlight w:val="none"/>
              </w:rPr>
              <w:t xml:space="preserve">格□</w:t>
            </w:r>
            <w:r/>
          </w:p>
          <w:p>
            <w:pPr>
              <w:pStyle w:val="912"/>
              <w:spacing w:line="259" w:lineRule="auto"/>
              <w:rPr>
                <w:color w:val="auto"/>
                <w:highlight w:val="none"/>
              </w:rPr>
            </w:pPr>
            <w:r>
              <w:rPr>
                <w:color w:val="auto"/>
                <w:highlight w:val="none"/>
              </w:rPr>
            </w:r>
            <w:r/>
          </w:p>
          <w:p>
            <w:pPr>
              <w:spacing w:before="59" w:line="239" w:lineRule="exact"/>
              <w:rPr>
                <w:rFonts w:hint="eastAsia" w:ascii="宋体" w:hAnsi="宋体" w:cs="宋体"/>
                <w:color w:val="auto"/>
                <w:sz w:val="18"/>
                <w:szCs w:val="18"/>
                <w:highlight w:val="none"/>
              </w:rPr>
            </w:pPr>
            <w:r>
              <w:rPr>
                <w:rFonts w:ascii="宋体" w:hAnsi="宋体" w:cs="宋体"/>
                <w:color w:val="auto"/>
                <w:spacing w:val="-3"/>
                <w:position w:val="1"/>
                <w:sz w:val="18"/>
                <w:szCs w:val="18"/>
                <w:highlight w:val="none"/>
              </w:rPr>
              <w:t xml:space="preserve">不合格□</w:t>
            </w:r>
            <w:r/>
          </w:p>
        </w:tc>
        <w:tc>
          <w:tcPr>
            <w:tcW w:w="1133" w:type="dxa"/>
            <w:textDirection w:val="lrTb"/>
            <w:noWrap w:val="false"/>
          </w:tcPr>
          <w:p>
            <w:pPr>
              <w:spacing w:before="270" w:line="239" w:lineRule="exact"/>
              <w:rPr>
                <w:rFonts w:hint="eastAsia" w:ascii="宋体" w:hAnsi="宋体" w:cs="宋体"/>
                <w:color w:val="auto"/>
                <w:sz w:val="18"/>
                <w:szCs w:val="18"/>
                <w:highlight w:val="none"/>
              </w:rPr>
            </w:pPr>
            <w:r>
              <w:rPr>
                <w:rFonts w:ascii="宋体" w:hAnsi="宋体" w:cs="宋体"/>
                <w:color w:val="auto"/>
                <w:spacing w:val="-5"/>
                <w:position w:val="1"/>
                <w:sz w:val="18"/>
                <w:szCs w:val="18"/>
                <w:highlight w:val="none"/>
              </w:rPr>
              <w:t xml:space="preserve">合</w:t>
            </w:r>
            <w:r>
              <w:rPr>
                <w:rFonts w:ascii="宋体" w:hAnsi="宋体" w:cs="宋体"/>
                <w:color w:val="auto"/>
                <w:spacing w:val="3"/>
                <w:position w:val="1"/>
                <w:sz w:val="18"/>
                <w:szCs w:val="18"/>
                <w:highlight w:val="none"/>
              </w:rPr>
              <w:t xml:space="preserve">  </w:t>
            </w:r>
            <w:r>
              <w:rPr>
                <w:rFonts w:ascii="宋体" w:hAnsi="宋体" w:cs="宋体"/>
                <w:color w:val="auto"/>
                <w:spacing w:val="-5"/>
                <w:position w:val="1"/>
                <w:sz w:val="18"/>
                <w:szCs w:val="18"/>
                <w:highlight w:val="none"/>
              </w:rPr>
              <w:t xml:space="preserve">格□</w:t>
            </w:r>
            <w:r/>
          </w:p>
          <w:p>
            <w:pPr>
              <w:pStyle w:val="912"/>
              <w:spacing w:line="259" w:lineRule="auto"/>
              <w:rPr>
                <w:color w:val="auto"/>
                <w:highlight w:val="none"/>
              </w:rPr>
            </w:pPr>
            <w:r>
              <w:rPr>
                <w:color w:val="auto"/>
                <w:highlight w:val="none"/>
              </w:rPr>
            </w:r>
            <w:r/>
          </w:p>
          <w:p>
            <w:pPr>
              <w:spacing w:before="59" w:line="239" w:lineRule="exact"/>
              <w:rPr>
                <w:rFonts w:hint="eastAsia" w:ascii="宋体" w:hAnsi="宋体" w:cs="宋体"/>
                <w:color w:val="auto"/>
                <w:sz w:val="18"/>
                <w:szCs w:val="18"/>
                <w:highlight w:val="none"/>
              </w:rPr>
            </w:pPr>
            <w:r>
              <w:rPr>
                <w:rFonts w:ascii="宋体" w:hAnsi="宋体" w:cs="宋体"/>
                <w:color w:val="auto"/>
                <w:spacing w:val="-3"/>
                <w:position w:val="1"/>
                <w:sz w:val="18"/>
                <w:szCs w:val="18"/>
                <w:highlight w:val="none"/>
              </w:rPr>
              <w:t xml:space="preserve">不合格□</w:t>
            </w:r>
            <w:r/>
          </w:p>
        </w:tc>
        <w:tc>
          <w:tcPr>
            <w:tcW w:w="1517" w:type="dxa"/>
            <w:textDirection w:val="lrTb"/>
            <w:noWrap w:val="false"/>
          </w:tcPr>
          <w:p>
            <w:pPr>
              <w:spacing w:before="270" w:line="239" w:lineRule="exact"/>
              <w:rPr>
                <w:rFonts w:hint="eastAsia" w:ascii="宋体" w:hAnsi="宋体" w:cs="宋体"/>
                <w:color w:val="auto"/>
                <w:sz w:val="18"/>
                <w:szCs w:val="18"/>
                <w:highlight w:val="none"/>
              </w:rPr>
            </w:pPr>
            <w:r>
              <w:rPr>
                <w:rFonts w:ascii="宋体" w:hAnsi="宋体" w:cs="宋体"/>
                <w:color w:val="auto"/>
                <w:spacing w:val="-5"/>
                <w:position w:val="1"/>
                <w:sz w:val="18"/>
                <w:szCs w:val="18"/>
                <w:highlight w:val="none"/>
              </w:rPr>
              <w:t xml:space="preserve">合</w:t>
            </w:r>
            <w:r>
              <w:rPr>
                <w:rFonts w:ascii="宋体" w:hAnsi="宋体" w:cs="宋体"/>
                <w:color w:val="auto"/>
                <w:spacing w:val="3"/>
                <w:position w:val="1"/>
                <w:sz w:val="18"/>
                <w:szCs w:val="18"/>
                <w:highlight w:val="none"/>
              </w:rPr>
              <w:t xml:space="preserve">  </w:t>
            </w:r>
            <w:r>
              <w:rPr>
                <w:rFonts w:ascii="宋体" w:hAnsi="宋体" w:cs="宋体"/>
                <w:color w:val="auto"/>
                <w:spacing w:val="-5"/>
                <w:position w:val="1"/>
                <w:sz w:val="18"/>
                <w:szCs w:val="18"/>
                <w:highlight w:val="none"/>
              </w:rPr>
              <w:t xml:space="preserve">格□</w:t>
            </w:r>
            <w:r/>
          </w:p>
          <w:p>
            <w:pPr>
              <w:pStyle w:val="912"/>
              <w:spacing w:line="259" w:lineRule="auto"/>
              <w:rPr>
                <w:color w:val="auto"/>
                <w:highlight w:val="none"/>
              </w:rPr>
            </w:pPr>
            <w:r>
              <w:rPr>
                <w:color w:val="auto"/>
                <w:highlight w:val="none"/>
              </w:rPr>
            </w:r>
            <w:r/>
          </w:p>
          <w:p>
            <w:pPr>
              <w:spacing w:before="59" w:line="239" w:lineRule="exact"/>
              <w:rPr>
                <w:rFonts w:hint="eastAsia" w:ascii="宋体" w:hAnsi="宋体" w:cs="宋体"/>
                <w:color w:val="auto"/>
                <w:sz w:val="18"/>
                <w:szCs w:val="18"/>
                <w:highlight w:val="none"/>
              </w:rPr>
            </w:pPr>
            <w:r>
              <w:rPr>
                <w:rFonts w:ascii="宋体" w:hAnsi="宋体" w:cs="宋体"/>
                <w:color w:val="auto"/>
                <w:spacing w:val="-3"/>
                <w:position w:val="1"/>
                <w:sz w:val="18"/>
                <w:szCs w:val="18"/>
                <w:highlight w:val="none"/>
              </w:rPr>
              <w:t xml:space="preserve">不合格□</w:t>
            </w:r>
            <w:r/>
          </w:p>
        </w:tc>
        <w:tc>
          <w:tcPr>
            <w:tcW w:w="1708" w:type="dxa"/>
            <w:textDirection w:val="lrTb"/>
            <w:noWrap w:val="false"/>
          </w:tcPr>
          <w:p>
            <w:pPr>
              <w:spacing w:before="270" w:line="239" w:lineRule="exact"/>
              <w:rPr>
                <w:rFonts w:hint="eastAsia" w:ascii="宋体" w:hAnsi="宋体" w:cs="宋体"/>
                <w:color w:val="auto"/>
                <w:sz w:val="18"/>
                <w:szCs w:val="18"/>
                <w:highlight w:val="none"/>
              </w:rPr>
            </w:pPr>
            <w:r>
              <w:rPr>
                <w:rFonts w:ascii="宋体" w:hAnsi="宋体" w:cs="宋体"/>
                <w:color w:val="auto"/>
                <w:spacing w:val="-5"/>
                <w:position w:val="1"/>
                <w:sz w:val="18"/>
                <w:szCs w:val="18"/>
                <w:highlight w:val="none"/>
              </w:rPr>
              <w:t xml:space="preserve">合</w:t>
            </w:r>
            <w:r>
              <w:rPr>
                <w:rFonts w:ascii="宋体" w:hAnsi="宋体" w:cs="宋体"/>
                <w:color w:val="auto"/>
                <w:spacing w:val="3"/>
                <w:position w:val="1"/>
                <w:sz w:val="18"/>
                <w:szCs w:val="18"/>
                <w:highlight w:val="none"/>
              </w:rPr>
              <w:t xml:space="preserve">  </w:t>
            </w:r>
            <w:r>
              <w:rPr>
                <w:rFonts w:ascii="宋体" w:hAnsi="宋体" w:cs="宋体"/>
                <w:color w:val="auto"/>
                <w:spacing w:val="-5"/>
                <w:position w:val="1"/>
                <w:sz w:val="18"/>
                <w:szCs w:val="18"/>
                <w:highlight w:val="none"/>
              </w:rPr>
              <w:t xml:space="preserve">格□</w:t>
            </w:r>
            <w:r/>
          </w:p>
          <w:p>
            <w:pPr>
              <w:pStyle w:val="912"/>
              <w:spacing w:line="259" w:lineRule="auto"/>
              <w:rPr>
                <w:color w:val="auto"/>
                <w:highlight w:val="none"/>
              </w:rPr>
            </w:pPr>
            <w:r>
              <w:rPr>
                <w:color w:val="auto"/>
                <w:highlight w:val="none"/>
              </w:rPr>
            </w:r>
            <w:r/>
          </w:p>
          <w:p>
            <w:pPr>
              <w:spacing w:before="59" w:line="239" w:lineRule="exact"/>
              <w:rPr>
                <w:rFonts w:hint="eastAsia" w:ascii="宋体" w:hAnsi="宋体" w:cs="宋体"/>
                <w:color w:val="auto"/>
                <w:sz w:val="18"/>
                <w:szCs w:val="18"/>
                <w:highlight w:val="none"/>
              </w:rPr>
            </w:pPr>
            <w:r>
              <w:rPr>
                <w:rFonts w:ascii="宋体" w:hAnsi="宋体" w:cs="宋体"/>
                <w:color w:val="auto"/>
                <w:spacing w:val="-3"/>
                <w:position w:val="1"/>
                <w:sz w:val="18"/>
                <w:szCs w:val="18"/>
                <w:highlight w:val="none"/>
              </w:rPr>
              <w:t xml:space="preserve">不合格□</w:t>
            </w:r>
            <w:r/>
          </w:p>
        </w:tc>
      </w:tr>
      <w:tr>
        <w:trPr>
          <w:trHeight w:val="1065"/>
        </w:trPr>
        <w:tc>
          <w:tcPr>
            <w:tcW w:w="1078" w:type="dxa"/>
            <w:vAlign w:val="center"/>
            <w:textDirection w:val="lrTb"/>
            <w:noWrap w:val="false"/>
          </w:tcPr>
          <w:p>
            <w:pPr>
              <w:spacing w:before="299"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专业检测机构情</w:t>
            </w:r>
            <w:r>
              <w:rPr>
                <w:rFonts w:ascii="宋体" w:hAnsi="宋体" w:cs="宋体"/>
                <w:color w:val="auto"/>
                <w:spacing w:val="-3"/>
                <w:sz w:val="18"/>
                <w:szCs w:val="18"/>
                <w:highlight w:val="none"/>
              </w:rPr>
              <w:t xml:space="preserve">况说明</w:t>
            </w:r>
            <w:r/>
          </w:p>
        </w:tc>
        <w:tc>
          <w:tcPr>
            <w:gridSpan w:val="7"/>
            <w:tcW w:w="8344" w:type="dxa"/>
            <w:textDirection w:val="lrTb"/>
            <w:noWrap w:val="false"/>
          </w:tcPr>
          <w:p>
            <w:pPr>
              <w:pStyle w:val="912"/>
              <w:rPr>
                <w:color w:val="auto"/>
                <w:highlight w:val="none"/>
                <w:lang w:eastAsia="zh-CN"/>
              </w:rPr>
            </w:pPr>
            <w:r>
              <w:rPr>
                <w:color w:val="auto"/>
                <w:highlight w:val="none"/>
                <w:lang w:eastAsia="zh-CN"/>
              </w:rPr>
            </w:r>
            <w:r/>
          </w:p>
        </w:tc>
      </w:tr>
      <w:tr>
        <w:trPr>
          <w:trHeight w:val="1066"/>
        </w:trPr>
        <w:tc>
          <w:tcPr>
            <w:tcW w:w="1078" w:type="dxa"/>
            <w:textDirection w:val="lrTb"/>
            <w:noWrap w:val="false"/>
          </w:tcPr>
          <w:p>
            <w:pPr>
              <w:pStyle w:val="912"/>
              <w:spacing w:line="241" w:lineRule="auto"/>
              <w:rPr>
                <w:color w:val="auto"/>
                <w:highlight w:val="none"/>
                <w:lang w:eastAsia="zh-CN"/>
              </w:rPr>
            </w:pPr>
            <w:r>
              <w:rPr>
                <w:color w:val="auto"/>
                <w:highlight w:val="none"/>
                <w:lang w:eastAsia="zh-CN"/>
              </w:rPr>
            </w:r>
            <w:r/>
          </w:p>
          <w:p>
            <w:pPr>
              <w:spacing w:before="58" w:line="207"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存在问题和改进意见</w:t>
            </w:r>
            <w:r/>
          </w:p>
        </w:tc>
        <w:tc>
          <w:tcPr>
            <w:gridSpan w:val="7"/>
            <w:tcW w:w="8344" w:type="dxa"/>
            <w:textDirection w:val="lrTb"/>
            <w:noWrap w:val="false"/>
          </w:tcPr>
          <w:p>
            <w:pPr>
              <w:pStyle w:val="912"/>
              <w:rPr>
                <w:color w:val="auto"/>
                <w:highlight w:val="none"/>
              </w:rPr>
            </w:pPr>
            <w:r>
              <w:rPr>
                <w:color w:val="auto"/>
                <w:highlight w:val="none"/>
              </w:rPr>
            </w:r>
            <w:r/>
          </w:p>
        </w:tc>
      </w:tr>
      <w:tr>
        <w:trPr>
          <w:trHeight w:val="451"/>
        </w:trPr>
        <w:tc>
          <w:tcPr>
            <w:tcW w:w="1078" w:type="dxa"/>
            <w:textDirection w:val="lrTb"/>
            <w:noWrap w:val="false"/>
          </w:tcPr>
          <w:p>
            <w:pPr>
              <w:spacing w:before="58" w:line="207" w:lineRule="auto"/>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最终结论</w:t>
            </w:r>
            <w:r/>
          </w:p>
        </w:tc>
        <w:tc>
          <w:tcPr>
            <w:gridSpan w:val="7"/>
            <w:tcW w:w="8344" w:type="dxa"/>
            <w:textDirection w:val="lrTb"/>
            <w:noWrap w:val="false"/>
          </w:tcPr>
          <w:p>
            <w:pPr>
              <w:spacing w:before="58" w:line="240" w:lineRule="exact"/>
              <w:rPr>
                <w:rFonts w:hint="eastAsia" w:ascii="宋体" w:hAnsi="宋体" w:cs="宋体"/>
                <w:color w:val="auto"/>
                <w:sz w:val="18"/>
                <w:szCs w:val="18"/>
                <w:highlight w:val="none"/>
              </w:rPr>
            </w:pPr>
            <w:r>
              <w:rPr>
                <w:rFonts w:ascii="宋体" w:hAnsi="宋体" w:cs="宋体"/>
                <w:color w:val="auto"/>
                <w:spacing w:val="-2"/>
                <w:position w:val="1"/>
                <w:sz w:val="18"/>
                <w:szCs w:val="18"/>
                <w:highlight w:val="none"/>
              </w:rPr>
              <w:t xml:space="preserve">合  格□</w:t>
            </w:r>
            <w:r>
              <w:rPr>
                <w:rFonts w:ascii="宋体" w:hAnsi="宋体" w:cs="宋体"/>
                <w:color w:val="auto"/>
                <w:position w:val="1"/>
                <w:sz w:val="18"/>
                <w:szCs w:val="18"/>
                <w:highlight w:val="none"/>
              </w:rPr>
              <w:t xml:space="preserve">                              </w:t>
            </w:r>
            <w:r>
              <w:rPr>
                <w:rFonts w:ascii="宋体" w:hAnsi="宋体" w:cs="宋体"/>
                <w:color w:val="auto"/>
                <w:spacing w:val="-2"/>
                <w:position w:val="1"/>
                <w:sz w:val="18"/>
                <w:szCs w:val="18"/>
                <w:highlight w:val="none"/>
              </w:rPr>
              <w:t xml:space="preserve">不合格□</w:t>
            </w:r>
            <w:r/>
          </w:p>
        </w:tc>
      </w:tr>
      <w:tr>
        <w:trPr>
          <w:trHeight w:val="850"/>
        </w:trPr>
        <w:tc>
          <w:tcPr>
            <w:tcW w:w="1078" w:type="dxa"/>
            <w:textDirection w:val="lrTb"/>
            <w:noWrap w:val="false"/>
          </w:tcPr>
          <w:p>
            <w:pPr>
              <w:spacing w:before="295" w:line="208" w:lineRule="auto"/>
              <w:rPr>
                <w:color w:val="auto"/>
                <w:highlight w:val="none"/>
              </w:rPr>
            </w:pPr>
            <w:r>
              <w:rPr>
                <w:rFonts w:ascii="宋体" w:hAnsi="宋体" w:cs="宋体"/>
                <w:color w:val="auto"/>
                <w:spacing w:val="-2"/>
                <w:sz w:val="18"/>
                <w:szCs w:val="18"/>
                <w:highlight w:val="none"/>
              </w:rPr>
              <w:t xml:space="preserve">验收小组成员</w:t>
            </w:r>
            <w:r/>
          </w:p>
          <w:p>
            <w:pPr>
              <w:spacing w:before="58" w:line="208" w:lineRule="auto"/>
              <w:rPr>
                <w:rFonts w:hint="eastAsia" w:ascii="宋体" w:hAnsi="宋体" w:cs="宋体"/>
                <w:color w:val="auto"/>
                <w:sz w:val="18"/>
                <w:szCs w:val="18"/>
                <w:highlight w:val="none"/>
              </w:rPr>
            </w:pPr>
            <w:r>
              <w:rPr>
                <w:rFonts w:ascii="宋体" w:hAnsi="宋体" w:cs="宋体"/>
                <w:color w:val="auto"/>
                <w:spacing w:val="-4"/>
                <w:sz w:val="18"/>
                <w:szCs w:val="18"/>
                <w:highlight w:val="none"/>
              </w:rPr>
              <w:t xml:space="preserve">签字</w:t>
            </w:r>
            <w:r/>
          </w:p>
        </w:tc>
        <w:tc>
          <w:tcPr>
            <w:gridSpan w:val="7"/>
            <w:tcW w:w="8344" w:type="dxa"/>
            <w:textDirection w:val="lrTb"/>
            <w:noWrap w:val="false"/>
          </w:tcPr>
          <w:p>
            <w:pPr>
              <w:pStyle w:val="912"/>
              <w:rPr>
                <w:color w:val="auto"/>
                <w:highlight w:val="none"/>
              </w:rPr>
            </w:pPr>
            <w:r>
              <w:rPr>
                <w:color w:val="auto"/>
                <w:highlight w:val="none"/>
              </w:rPr>
            </w:r>
            <w:r/>
          </w:p>
        </w:tc>
      </w:tr>
      <w:tr>
        <w:trPr>
          <w:trHeight w:val="535"/>
        </w:trPr>
        <w:tc>
          <w:tcPr>
            <w:gridSpan w:val="4"/>
            <w:tcW w:w="4531" w:type="dxa"/>
            <w:textDirection w:val="lrTb"/>
            <w:noWrap w:val="false"/>
          </w:tcPr>
          <w:p>
            <w:pPr>
              <w:spacing w:before="297" w:line="208" w:lineRule="auto"/>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采购代理机构意见</w:t>
            </w:r>
            <w:r/>
          </w:p>
        </w:tc>
        <w:tc>
          <w:tcPr>
            <w:gridSpan w:val="4"/>
            <w:tcW w:w="4891" w:type="dxa"/>
            <w:textDirection w:val="lrTb"/>
            <w:noWrap w:val="false"/>
          </w:tcPr>
          <w:p>
            <w:pPr>
              <w:ind w:left="3111"/>
              <w:spacing w:before="297" w:line="207"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采购人意见</w:t>
            </w:r>
            <w:r/>
          </w:p>
        </w:tc>
      </w:tr>
      <w:tr>
        <w:trPr>
          <w:trHeight w:val="1065"/>
        </w:trPr>
        <w:tc>
          <w:tcPr>
            <w:gridSpan w:val="4"/>
            <w:tcW w:w="4531" w:type="dxa"/>
            <w:textDirection w:val="lrTb"/>
            <w:noWrap w:val="false"/>
          </w:tcPr>
          <w:p>
            <w:pPr>
              <w:pStyle w:val="912"/>
              <w:spacing w:line="255" w:lineRule="auto"/>
              <w:rPr>
                <w:color w:val="auto"/>
                <w:highlight w:val="none"/>
                <w:lang w:eastAsia="zh-CN"/>
              </w:rPr>
            </w:pPr>
            <w:r>
              <w:rPr>
                <w:color w:val="auto"/>
                <w:highlight w:val="none"/>
                <w:lang w:eastAsia="zh-CN"/>
              </w:rPr>
            </w:r>
            <w:r/>
          </w:p>
          <w:p>
            <w:pPr>
              <w:pStyle w:val="912"/>
              <w:spacing w:line="255" w:lineRule="auto"/>
              <w:rPr>
                <w:color w:val="auto"/>
                <w:highlight w:val="none"/>
                <w:lang w:eastAsia="zh-CN"/>
              </w:rPr>
            </w:pPr>
            <w:r>
              <w:rPr>
                <w:color w:val="auto"/>
                <w:highlight w:val="none"/>
                <w:lang w:eastAsia="zh-CN"/>
              </w:rPr>
            </w:r>
            <w:r/>
          </w:p>
          <w:p>
            <w:pPr>
              <w:pStyle w:val="912"/>
              <w:spacing w:line="255" w:lineRule="auto"/>
              <w:rPr>
                <w:color w:val="auto"/>
                <w:highlight w:val="none"/>
                <w:lang w:eastAsia="zh-CN"/>
              </w:rPr>
            </w:pPr>
            <w:r>
              <w:rPr>
                <w:color w:val="auto"/>
                <w:highlight w:val="none"/>
                <w:lang w:eastAsia="zh-CN"/>
              </w:rPr>
            </w:r>
            <w:r/>
          </w:p>
          <w:p>
            <w:pPr>
              <w:ind w:left="113"/>
              <w:spacing w:before="59" w:line="238" w:lineRule="exact"/>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gridSpan w:val="4"/>
            <w:tcW w:w="4891" w:type="dxa"/>
            <w:textDirection w:val="lrTb"/>
            <w:noWrap w:val="false"/>
          </w:tcPr>
          <w:p>
            <w:pPr>
              <w:pStyle w:val="912"/>
              <w:spacing w:line="255" w:lineRule="auto"/>
              <w:rPr>
                <w:color w:val="auto"/>
                <w:highlight w:val="none"/>
                <w:lang w:eastAsia="zh-CN"/>
              </w:rPr>
            </w:pPr>
            <w:r>
              <w:rPr>
                <w:color w:val="auto"/>
                <w:highlight w:val="none"/>
                <w:lang w:eastAsia="zh-CN"/>
              </w:rPr>
            </w:r>
            <w:r/>
          </w:p>
          <w:p>
            <w:pPr>
              <w:pStyle w:val="912"/>
              <w:spacing w:line="255" w:lineRule="auto"/>
              <w:rPr>
                <w:color w:val="auto"/>
                <w:highlight w:val="none"/>
                <w:lang w:eastAsia="zh-CN"/>
              </w:rPr>
            </w:pPr>
            <w:r>
              <w:rPr>
                <w:color w:val="auto"/>
                <w:highlight w:val="none"/>
                <w:lang w:eastAsia="zh-CN"/>
              </w:rPr>
            </w:r>
            <w:r/>
          </w:p>
          <w:p>
            <w:pPr>
              <w:pStyle w:val="912"/>
              <w:spacing w:line="255" w:lineRule="auto"/>
              <w:rPr>
                <w:color w:val="auto"/>
                <w:highlight w:val="none"/>
                <w:lang w:eastAsia="zh-CN"/>
              </w:rPr>
            </w:pPr>
            <w:r>
              <w:rPr>
                <w:color w:val="auto"/>
                <w:highlight w:val="none"/>
                <w:lang w:eastAsia="zh-CN"/>
              </w:rPr>
            </w:r>
            <w:r/>
          </w:p>
          <w:p>
            <w:pPr>
              <w:ind w:left="115"/>
              <w:spacing w:before="59" w:line="238" w:lineRule="exact"/>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03"/>
        </w:trPr>
        <w:tc>
          <w:tcPr>
            <w:gridSpan w:val="8"/>
            <w:tcW w:w="9422" w:type="dxa"/>
            <w:textDirection w:val="lrTb"/>
            <w:noWrap w:val="false"/>
          </w:tcPr>
          <w:p>
            <w:pPr>
              <w:ind w:left="112"/>
              <w:spacing w:before="299" w:line="207"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912"/>
              <w:spacing w:line="275" w:lineRule="auto"/>
              <w:rPr>
                <w:color w:val="auto"/>
                <w:highlight w:val="none"/>
                <w:lang w:eastAsia="zh-CN"/>
              </w:rPr>
            </w:pPr>
            <w:r>
              <w:rPr>
                <w:color w:val="auto"/>
                <w:highlight w:val="none"/>
                <w:lang w:eastAsia="zh-CN"/>
              </w:rPr>
            </w:r>
            <w:r/>
          </w:p>
          <w:p>
            <w:pPr>
              <w:pStyle w:val="912"/>
              <w:spacing w:line="275" w:lineRule="auto"/>
              <w:rPr>
                <w:color w:val="auto"/>
                <w:highlight w:val="none"/>
                <w:lang w:eastAsia="zh-CN"/>
              </w:rPr>
            </w:pPr>
            <w:r>
              <w:rPr>
                <w:color w:val="auto"/>
                <w:highlight w:val="none"/>
                <w:lang w:eastAsia="zh-CN"/>
              </w:rPr>
            </w:r>
            <w:r/>
          </w:p>
          <w:p>
            <w:pPr>
              <w:ind w:left="117"/>
              <w:spacing w:before="58" w:line="239" w:lineRule="exact"/>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jc w:val="left"/>
        <w:spacing w:line="360" w:lineRule="auto"/>
        <w:tabs>
          <w:tab w:val="left" w:pos="8930" w:leader="none"/>
          <w:tab w:val="left" w:pos="930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说明:1.该表为服务类项目履约验收的参考样表，采购人或采购代理机构可以根据工作实际进行调整。</w:t>
      </w:r>
      <w:r/>
    </w:p>
    <w:p>
      <w:pPr>
        <w:pStyle w:val="6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2.未委托采购代理机构开展履约验收工作的，无需填写“采购代理机构意见”。</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rPr>
          <w:rStyle w:val="894"/>
          <w:rFonts w:hint="eastAsia" w:ascii="宋体" w:hAnsi="宋体" w:cs="宋体"/>
          <w:color w:val="auto"/>
          <w:sz w:val="43"/>
          <w:szCs w:val="43"/>
          <w:highlight w:val="none"/>
        </w:rPr>
      </w:pPr>
      <w:r>
        <w:rPr>
          <w:rStyle w:val="894"/>
          <w:rFonts w:hint="eastAsia" w:ascii="宋体" w:hAnsi="宋体" w:cs="宋体"/>
          <w:color w:val="auto"/>
          <w:sz w:val="43"/>
          <w:szCs w:val="43"/>
          <w:highlight w:val="none"/>
        </w:rPr>
        <w:t xml:space="preserve">第六章 磋商响应文件格式</w:t>
      </w:r>
      <w:r/>
    </w:p>
    <w:p>
      <w:pPr>
        <w:pStyle w:val="87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7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874"/>
        <w:ind w:firstLine="48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对本章所有的格式，磋商供应商可根据自身情况进行补充和修改，但补充和修改不得造成与本格式内容有实质性的违背。</w:t>
      </w:r>
      <w:r/>
    </w:p>
    <w:p>
      <w:pPr>
        <w:pStyle w:val="874"/>
        <w:ind w:firstLine="0"/>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r>
      <w:r/>
    </w:p>
    <w:p>
      <w:pPr>
        <w:pStyle w:val="874"/>
        <w:ind w:firstLine="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74"/>
        <w:ind w:firstLine="0"/>
        <w:jc w:val="center"/>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法定代表人授权委托书</w:t>
      </w:r>
      <w:r/>
    </w:p>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74"/>
        <w:ind w:firstLine="60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本授权委托书声明：我</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（姓名）系</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（供应商名称）的法定代表人，现授权委托</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（单位名称）的</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（姓名）为我公司代理人，以本公司的名义参加鼎信工程咨询（苏州）有限公司组织实施的编号为</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号的磋商邀请活动。代理人在磋商活动过程中所签署的一切文件和处理与这有关的一切事务，我均予以承认。</w:t>
      </w:r>
      <w:r/>
    </w:p>
    <w:p>
      <w:pPr>
        <w:pStyle w:val="874"/>
        <w:ind w:firstLine="48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代理人在授权委托书有效期内签署的所有文件不因授权委托的撤销而失效，除非有撤销授权委托的书面通知，本授权委托书自磋商活动开始至合同履行完毕止。</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代理人无转委托权。特此委托。</w:t>
      </w:r>
      <w:r/>
    </w:p>
    <w:p>
      <w:pPr>
        <w:pStyle w:val="874"/>
        <w:ind w:firstLine="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    </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法定代表人：（签字或盖章）</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授权委托人：（签字或盖章）</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日期：      年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color w:val="auto"/>
          <w:szCs w:val="24"/>
          <w:highlight w:val="none"/>
        </w:rPr>
      </w:pPr>
      <w:r>
        <w:rPr>
          <w:rFonts w:ascii="宋体" w:hAnsi="宋体"/>
          <w:color w:val="auto"/>
          <w:szCs w:val="24"/>
          <w:highlight w:val="none"/>
        </w:rPr>
        <w:br w:type="page" w:clear="all"/>
      </w:r>
      <w:r/>
    </w:p>
    <w:p>
      <w:pPr>
        <w:rPr>
          <w:color w:val="auto"/>
          <w:highlight w:val="none"/>
        </w:rPr>
      </w:pPr>
      <w:r>
        <w:rPr>
          <w:color w:val="auto"/>
          <w:highlight w:val="none"/>
        </w:rPr>
      </w:r>
      <w:r/>
    </w:p>
    <w:p>
      <w:pPr>
        <w:pStyle w:val="874"/>
        <w:ind w:firstLine="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、磋商响应函</w:t>
      </w:r>
      <w:r/>
    </w:p>
    <w:p>
      <w:pPr>
        <w:pStyle w:val="874"/>
        <w:jc w:val="center"/>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磋商响应函</w:t>
      </w:r>
      <w:r/>
    </w:p>
    <w:p>
      <w:pPr>
        <w:pStyle w:val="874"/>
        <w:ind w:firstLine="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w:t>
      </w:r>
      <w:r/>
    </w:p>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我们收到贵公司</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u w:val="single"/>
        </w:rPr>
        <w:t xml:space="preserve">        </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号磋商邀请函，经仔细阅读和研究，我们决定参加该次磋商活动。</w:t>
      </w:r>
      <w:r/>
    </w:p>
    <w:p>
      <w:pPr>
        <w:pStyle w:val="874"/>
        <w:ind w:firstLine="48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1、我们愿意按照磋商采购邀请函的一切要求，提供包括但不限于完成本次服务项目所需的人员（包括工资和补贴）、设备、材料、备用仪器设备投入、检测、保险、劳保、管理、验收、各种税费、利润、税金、政策性文件规定及合同包含的所有风险、责任等各项应有费用。</w:t>
      </w:r>
      <w:r/>
    </w:p>
    <w:p>
      <w:pPr>
        <w:pStyle w:val="874"/>
        <w:ind w:firstLine="48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、如果我们磋商商务被接受，我们将严格履行磋商邀请函中规定的每一项要求，按期、按质、按量履行合同的义务。</w:t>
      </w:r>
      <w:r/>
    </w:p>
    <w:p>
      <w:pPr>
        <w:pStyle w:val="874"/>
        <w:ind w:firstLine="48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、我们愿意提供邀请方在磋商邀请函中要求的所有资料。</w:t>
      </w:r>
      <w:r/>
    </w:p>
    <w:p>
      <w:pPr>
        <w:pStyle w:val="874"/>
        <w:ind w:firstLine="48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、我们认为你们有权决定成交人者，还认为你们有权接受或拒绝所有的磋商供应商。</w:t>
      </w:r>
      <w:r/>
    </w:p>
    <w:p>
      <w:pPr>
        <w:pStyle w:val="874"/>
        <w:ind w:firstLine="48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、我们愿意遵守磋商邀请函中所列的收费标准。</w:t>
      </w:r>
      <w:r/>
    </w:p>
    <w:p>
      <w:pPr>
        <w:pStyle w:val="874"/>
        <w:ind w:firstLine="48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6</w:t>
      </w:r>
      <w:r>
        <w:rPr>
          <w:rFonts w:hint="eastAsia" w:ascii="宋体" w:hAnsi="宋体" w:eastAsia="宋体"/>
          <w:color w:val="auto"/>
          <w:szCs w:val="24"/>
          <w:highlight w:val="none"/>
        </w:rPr>
        <w:t xml:space="preserve">、如果我们成交，我们愿意在签订合同时按前附表规定的支付成交服务费；</w:t>
      </w:r>
      <w:r/>
    </w:p>
    <w:p>
      <w:pPr>
        <w:pStyle w:val="874"/>
        <w:ind w:firstLine="48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t xml:space="preserve">7</w:t>
      </w:r>
      <w:r>
        <w:rPr>
          <w:rFonts w:hint="eastAsia" w:ascii="宋体" w:hAnsi="宋体" w:eastAsia="宋体"/>
          <w:color w:val="auto"/>
          <w:szCs w:val="24"/>
          <w:highlight w:val="none"/>
        </w:rPr>
        <w:t xml:space="preserve">、综合说明：</w:t>
      </w:r>
      <w:r/>
    </w:p>
    <w:p>
      <w:pPr>
        <w:pStyle w:val="874"/>
        <w:ind w:firstLine="48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）伴随服务及配合措施；</w:t>
      </w:r>
      <w:r/>
    </w:p>
    <w:p>
      <w:pPr>
        <w:pStyle w:val="874"/>
        <w:ind w:firstLine="48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）要求采购单位提供的配合；</w:t>
      </w:r>
      <w:r/>
    </w:p>
    <w:p>
      <w:pPr>
        <w:pStyle w:val="874"/>
        <w:ind w:firstLine="48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）其它说明。</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单位：</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联系人：</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地址：</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邮政编码：</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联系电话：</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传真：</w:t>
      </w:r>
      <w:r/>
    </w:p>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74"/>
        <w:ind w:firstLine="0"/>
        <w:jc w:val="both"/>
        <w:spacing w:line="360" w:lineRule="auto"/>
        <w:rPr>
          <w:rFonts w:hint="eastAsia" w:ascii="宋体" w:hAnsi="宋体" w:eastAsia="宋体"/>
          <w:color w:val="auto"/>
          <w:highlight w:val="none"/>
        </w:rPr>
        <w:outlineLvl w:val="1"/>
      </w:pPr>
      <w:r>
        <w:rPr>
          <w:rFonts w:hint="eastAsia" w:ascii="宋体" w:hAnsi="宋体" w:eastAsia="宋体"/>
          <w:color w:val="auto"/>
          <w:szCs w:val="24"/>
          <w:highlight w:val="none"/>
        </w:rPr>
        <w:t xml:space="preserve">法定代表人或授权委托人：（签字或盖章）</w:t>
      </w:r>
      <w:r/>
    </w:p>
    <w:p>
      <w:pPr>
        <w:pStyle w:val="874"/>
        <w:ind w:firstLine="0"/>
        <w:jc w:val="both"/>
        <w:spacing w:line="360" w:lineRule="auto"/>
        <w:rPr>
          <w:rFonts w:hint="eastAsia" w:ascii="宋体" w:hAnsi="宋体" w:eastAsia="宋体"/>
          <w:color w:val="auto"/>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   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  日</w:t>
      </w:r>
      <w:r>
        <w:rPr>
          <w:rFonts w:ascii="宋体" w:hAnsi="宋体" w:eastAsia="宋体"/>
          <w:color w:val="auto"/>
          <w:szCs w:val="24"/>
          <w:highlight w:val="none"/>
        </w:rPr>
        <w:br w:type="page" w:clear="all"/>
      </w:r>
      <w:r>
        <w:rPr>
          <w:rFonts w:hint="eastAsia" w:ascii="宋体" w:hAnsi="宋体" w:eastAsia="宋体"/>
          <w:color w:val="auto"/>
          <w:szCs w:val="24"/>
          <w:highlight w:val="none"/>
        </w:rPr>
        <w:t xml:space="preserve">3、磋商报价表</w:t>
      </w:r>
      <w:r/>
    </w:p>
    <w:p>
      <w:pPr>
        <w:pStyle w:val="906"/>
        <w:jc w:val="center"/>
        <w:spacing w:line="360" w:lineRule="auto"/>
        <w:rPr>
          <w:rFonts w:hint="eastAsia" w:hAnsi="宋体"/>
          <w:b/>
          <w:color w:val="auto"/>
          <w:sz w:val="24"/>
          <w:szCs w:val="24"/>
          <w:highlight w:val="none"/>
        </w:rPr>
      </w:pPr>
      <w:r>
        <w:rPr>
          <w:rFonts w:hint="eastAsia" w:hAnsi="宋体"/>
          <w:color w:val="auto"/>
          <w:sz w:val="24"/>
          <w:szCs w:val="24"/>
          <w:highlight w:val="none"/>
        </w:rPr>
        <w:t xml:space="preserve">磋商报价表</w:t>
      </w:r>
      <w:r/>
    </w:p>
    <w:p>
      <w:pPr>
        <w:pStyle w:val="906"/>
        <w:spacing w:line="360" w:lineRule="auto"/>
        <w:rPr>
          <w:rFonts w:hint="eastAsia" w:hAnsi="宋体"/>
          <w:color w:val="auto"/>
          <w:sz w:val="24"/>
          <w:szCs w:val="24"/>
          <w:highlight w:val="none"/>
        </w:rPr>
      </w:pPr>
      <w:r>
        <w:rPr>
          <w:rFonts w:hint="eastAsia" w:hAnsi="宋体"/>
          <w:color w:val="auto"/>
          <w:sz w:val="24"/>
          <w:szCs w:val="24"/>
          <w:highlight w:val="none"/>
        </w:rPr>
        <w:t xml:space="preserve">项目编号：                                                           单位：元  </w:t>
      </w:r>
      <w:r/>
    </w:p>
    <w:tbl>
      <w:tblPr>
        <w:tblStyle w:val="673"/>
        <w:tblW w:w="966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16"/>
        <w:gridCol w:w="2294"/>
        <w:gridCol w:w="3271"/>
        <w:gridCol w:w="3286"/>
      </w:tblGrid>
      <w:tr>
        <w:trPr>
          <w:jc w:val="center"/>
          <w:trHeight w:val="69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报价</w:t>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jc w:val="center"/>
          <w:trHeight w:val="419"/>
        </w:trPr>
        <w:tc>
          <w:tcPr>
            <w:gridSpan w:val="2"/>
            <w:tcBorders>
              <w:top w:val="single" w:color="auto" w:sz="4" w:space="0"/>
              <w:left w:val="single" w:color="auto" w:sz="4" w:space="0"/>
              <w:bottom w:val="single" w:color="auto" w:sz="4" w:space="0"/>
              <w:right w:val="single" w:color="auto" w:sz="4" w:space="0"/>
            </w:tcBorders>
            <w:tcW w:w="311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bl>
    <w:p>
      <w:pPr>
        <w:ind w:right="-290"/>
        <w:spacing w:line="360" w:lineRule="auto"/>
        <w:tabs>
          <w:tab w:val="left" w:pos="9000" w:leader="none"/>
        </w:tabs>
        <w:rPr>
          <w:rFonts w:hint="eastAsia" w:ascii="宋体" w:hAnsi="宋体" w:cs="宋体"/>
          <w:b/>
          <w:bCs/>
          <w:color w:val="auto"/>
          <w:sz w:val="28"/>
          <w:szCs w:val="24"/>
          <w:highlight w:val="none"/>
        </w:rPr>
      </w:pPr>
      <w:r>
        <w:rPr>
          <w:rFonts w:hint="eastAsia" w:ascii="宋体" w:hAnsi="宋体" w:cs="宋体"/>
          <w:b/>
          <w:bCs/>
          <w:color w:val="auto"/>
          <w:sz w:val="28"/>
          <w:szCs w:val="24"/>
          <w:highlight w:val="none"/>
        </w:rPr>
        <w:t xml:space="preserve"> </w:t>
      </w:r>
      <w:r/>
    </w:p>
    <w:p>
      <w:pPr>
        <w:ind w:right="-290"/>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0"/>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供应商：（单位盖章）</w:t>
      </w:r>
      <w:r/>
    </w:p>
    <w:p>
      <w:pPr>
        <w:ind w:right="-290"/>
        <w:jc w:val="left"/>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法定代表人或被授权人：（签字或盖章）</w:t>
      </w:r>
      <w:r/>
    </w:p>
    <w:p>
      <w:pPr>
        <w:ind w:right="-290"/>
        <w:spacing w:line="360" w:lineRule="auto"/>
        <w:tabs>
          <w:tab w:val="left" w:pos="9000" w:leader="none"/>
        </w:tabs>
        <w:rPr>
          <w:rFonts w:hint="eastAsia" w:ascii="宋体" w:hAnsi="宋体" w:cs="宋体"/>
          <w:color w:val="auto"/>
          <w:sz w:val="24"/>
          <w:szCs w:val="20"/>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s="宋体"/>
          <w:color w:val="auto"/>
          <w:szCs w:val="24"/>
          <w:highlight w:val="none"/>
        </w:rPr>
        <w:sectPr>
          <w:footerReference w:type="default" r:id="rId9"/>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s="宋体"/>
          <w:color w:val="auto"/>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4、响应分项组成明细表</w:t>
      </w:r>
      <w:r/>
    </w:p>
    <w:p>
      <w:pPr>
        <w:jc w:val="cente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响应分项组成明细表</w:t>
      </w:r>
      <w:r/>
    </w:p>
    <w:p>
      <w:pPr>
        <w:ind w:firstLine="48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响应单位：（单位盖章）</w:t>
      </w:r>
      <w:r>
        <w:rPr>
          <w:rFonts w:hint="eastAsia" w:ascii="宋体" w:hAnsi="宋体" w:cs="宋体"/>
          <w:bCs/>
          <w:color w:val="auto"/>
          <w:sz w:val="24"/>
          <w:szCs w:val="24"/>
          <w:highlight w:val="none"/>
          <w:u w:val="single"/>
        </w:rPr>
        <w:t xml:space="preserve">                    </w:t>
      </w:r>
      <w:r/>
    </w:p>
    <w:tbl>
      <w:tblPr>
        <w:tblStyle w:val="673"/>
        <w:tblW w:w="9615"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745"/>
        <w:gridCol w:w="1200"/>
        <w:gridCol w:w="1119"/>
        <w:gridCol w:w="1963"/>
        <w:gridCol w:w="2892"/>
      </w:tblGrid>
      <w:tr>
        <w:trPr>
          <w:jc w:val="center"/>
          <w:trHeight w:val="53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jc w:val="center"/>
          <w:trHeight w:val="438"/>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Height w:val="70"/>
        </w:trPr>
        <w:tc>
          <w:tcPr>
            <w:gridSpan w:val="6"/>
            <w:tcBorders>
              <w:top w:val="single" w:color="auto" w:sz="4" w:space="0"/>
              <w:left w:val="single" w:color="auto" w:sz="4" w:space="0"/>
              <w:bottom w:val="single" w:color="auto" w:sz="4" w:space="0"/>
              <w:right w:val="single" w:color="auto" w:sz="4" w:space="0"/>
            </w:tcBorders>
            <w:tcW w:w="9615" w:type="dxa"/>
            <w:vAlign w:val="center"/>
            <w:textDirection w:val="lrTb"/>
            <w:noWrap w:val="false"/>
          </w:tcPr>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合计：</w:t>
            </w:r>
            <w:r/>
          </w:p>
        </w:tc>
      </w:tr>
    </w:tbl>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注：所列项目必须核算明细，如有增加，可自行添加。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供应商：（盖公章）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法定代表人或被授权人：（签字或盖章）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highlight w:val="none"/>
        </w:rPr>
      </w:pPr>
      <w:r>
        <w:rPr>
          <w:rFonts w:hint="eastAsia" w:ascii="宋体" w:hAnsi="宋体"/>
          <w:color w:val="auto"/>
          <w:highlight w:val="none"/>
        </w:rPr>
        <w:br w:type="page" w:clear="all"/>
      </w:r>
      <w:r/>
    </w:p>
    <w:p>
      <w:pPr>
        <w:spacing w:line="360" w:lineRule="auto"/>
        <w:rPr>
          <w:rFonts w:hint="eastAsia" w:ascii="宋体" w:hAnsi="宋体"/>
          <w:b/>
          <w:bCs/>
          <w:color w:val="auto"/>
          <w:sz w:val="24"/>
          <w:highlight w:val="none"/>
        </w:rPr>
      </w:pPr>
      <w:r>
        <w:rPr>
          <w:rFonts w:hint="eastAsia" w:ascii="宋体" w:hAnsi="宋体" w:cs="宋体"/>
          <w:color w:val="auto"/>
          <w:sz w:val="24"/>
          <w:szCs w:val="24"/>
          <w:highlight w:val="none"/>
        </w:rPr>
        <w:t xml:space="preserve">5</w:t>
      </w:r>
      <w:r>
        <w:rPr>
          <w:rFonts w:hint="eastAsia" w:ascii="宋体" w:hAnsi="宋体"/>
          <w:color w:val="auto"/>
          <w:highlight w:val="none"/>
        </w:rPr>
        <w:t xml:space="preserve">、</w:t>
      </w:r>
      <w:r>
        <w:rPr>
          <w:rFonts w:hint="eastAsia" w:ascii="宋体" w:hAnsi="宋体"/>
          <w:bCs/>
          <w:color w:val="auto"/>
          <w:sz w:val="24"/>
          <w:highlight w:val="none"/>
        </w:rPr>
        <w:t xml:space="preserve">人员配备一览表</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人员配备一览表</w:t>
      </w:r>
      <w:r/>
    </w:p>
    <w:tbl>
      <w:tblPr>
        <w:tblStyle w:val="673"/>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12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岗位</w:t>
            </w:r>
            <w:r/>
          </w:p>
        </w:tc>
        <w:tc>
          <w:tcPr>
            <w:tcW w:w="75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数量</w:t>
            </w:r>
            <w:r/>
          </w:p>
        </w:tc>
        <w:tc>
          <w:tcPr>
            <w:tcW w:w="1350"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年龄</w:t>
            </w:r>
            <w:r/>
          </w:p>
        </w:tc>
        <w:tc>
          <w:tcPr>
            <w:tcW w:w="1411"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性别</w:t>
            </w:r>
            <w:r/>
          </w:p>
        </w:tc>
        <w:tc>
          <w:tcPr>
            <w:tcW w:w="2259"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基本要求</w:t>
            </w:r>
            <w:r/>
          </w:p>
        </w:tc>
        <w:tc>
          <w:tcPr>
            <w:tcW w:w="150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备注</w:t>
            </w:r>
            <w:r/>
          </w:p>
        </w:tc>
      </w:tr>
      <w:tr>
        <w:trPr>
          <w:trHeight w:val="567"/>
        </w:trPr>
        <w:tc>
          <w:tcPr>
            <w:tcW w:w="861"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12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5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350"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1"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259"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0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rHeight w:val="567"/>
        </w:trPr>
        <w:tc>
          <w:tcPr>
            <w:tcW w:w="861"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12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5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350"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1"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259"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0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rHeight w:val="567"/>
        </w:trPr>
        <w:tc>
          <w:tcPr>
            <w:tcW w:w="861"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p>
        </w:tc>
        <w:tc>
          <w:tcPr>
            <w:tcW w:w="1255"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53"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350"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1"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259"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06"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rHeight w:val="567"/>
        </w:trPr>
        <w:tc>
          <w:tcPr>
            <w:tcW w:w="861"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p>
        </w:tc>
        <w:tc>
          <w:tcPr>
            <w:tcW w:w="1255"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53"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350"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1"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259"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06"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905"/>
        <w:ind w:right="-290"/>
        <w:spacing w:line="360" w:lineRule="auto"/>
        <w:tabs>
          <w:tab w:val="left" w:pos="900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w:t>
      </w:r>
      <w:r>
        <w:rPr>
          <w:rFonts w:hAnsi="宋体" w:eastAsia="宋体"/>
          <w:color w:val="auto"/>
          <w:sz w:val="24"/>
          <w:szCs w:val="24"/>
          <w:highlight w:val="none"/>
        </w:rPr>
        <w:t xml:space="preserve">：（单位盖章）</w:t>
      </w:r>
      <w:r/>
    </w:p>
    <w:p>
      <w:pPr>
        <w:pStyle w:val="905"/>
        <w:ind w:right="-290"/>
        <w:jc w:val="left"/>
        <w:spacing w:line="360" w:lineRule="auto"/>
        <w:tabs>
          <w:tab w:val="left" w:pos="9000" w:leader="none"/>
        </w:tabs>
        <w:rPr>
          <w:rFonts w:hint="eastAsia"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05"/>
        <w:ind w:right="-290"/>
        <w:spacing w:line="360" w:lineRule="auto"/>
        <w:tabs>
          <w:tab w:val="left" w:pos="9000" w:leader="none"/>
        </w:tabs>
        <w:rPr>
          <w:rFonts w:hint="eastAsia"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highlight w:val="none"/>
        </w:rPr>
      </w:pPr>
      <w:r>
        <w:rPr>
          <w:rFonts w:hint="eastAsia" w:ascii="宋体" w:hAnsi="宋体"/>
          <w:color w:val="auto"/>
          <w:highlight w:val="none"/>
        </w:rPr>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bCs/>
          <w:color w:val="auto"/>
          <w:sz w:val="24"/>
          <w:highlight w:val="none"/>
        </w:rPr>
      </w:pPr>
      <w:r>
        <w:rPr>
          <w:rFonts w:ascii="宋体" w:hAnsi="宋体"/>
          <w:bCs/>
          <w:color w:val="auto"/>
          <w:sz w:val="24"/>
          <w:highlight w:val="none"/>
        </w:rPr>
        <w:br w:type="page" w:clear="all"/>
      </w:r>
      <w:r/>
    </w:p>
    <w:p>
      <w:pPr>
        <w:pStyle w:val="674"/>
        <w:rPr>
          <w:color w:val="auto"/>
          <w:highlight w:val="none"/>
        </w:rPr>
      </w:pPr>
      <w:r>
        <w:rPr>
          <w:color w:val="auto"/>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6、项目业绩一览表</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项目业绩一览表</w:t>
      </w:r>
      <w:r/>
    </w:p>
    <w:tbl>
      <w:tblPr>
        <w:tblStyle w:val="673"/>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1530"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1462"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项目时间</w:t>
            </w:r>
            <w:r/>
          </w:p>
        </w:tc>
        <w:tc>
          <w:tcPr>
            <w:tcW w:w="148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合同金额</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（人民币）</w:t>
            </w:r>
            <w:r/>
          </w:p>
        </w:tc>
        <w:tc>
          <w:tcPr>
            <w:tcW w:w="2164"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业主单位</w:t>
            </w:r>
            <w:r/>
          </w:p>
        </w:tc>
        <w:tc>
          <w:tcPr>
            <w:tcW w:w="192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备注</w:t>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ascii="宋体" w:hAnsi="宋体"/>
                <w:bCs/>
                <w:color w:val="auto"/>
                <w:sz w:val="24"/>
                <w:highlight w:val="none"/>
              </w:rPr>
              <w:t xml:space="preserve">……</w:t>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c>
          <w:tcPr>
            <w:tcW w:w="69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30"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62"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85"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164"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3" w:type="dxa"/>
            <w:vAlign w:val="center"/>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pStyle w:val="905"/>
        <w:ind w:right="-290"/>
        <w:spacing w:line="360" w:lineRule="auto"/>
        <w:tabs>
          <w:tab w:val="left" w:pos="900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w:t>
      </w:r>
      <w:r>
        <w:rPr>
          <w:rFonts w:hAnsi="宋体" w:eastAsia="宋体"/>
          <w:color w:val="auto"/>
          <w:sz w:val="24"/>
          <w:szCs w:val="24"/>
          <w:highlight w:val="none"/>
        </w:rPr>
        <w:t xml:space="preserve">：（单位盖章）</w:t>
      </w:r>
      <w:r/>
    </w:p>
    <w:p>
      <w:pPr>
        <w:pStyle w:val="905"/>
        <w:ind w:right="-290"/>
        <w:jc w:val="left"/>
        <w:spacing w:line="360" w:lineRule="auto"/>
        <w:tabs>
          <w:tab w:val="left" w:pos="9000" w:leader="none"/>
        </w:tabs>
        <w:rPr>
          <w:rFonts w:hint="eastAsia"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05"/>
        <w:ind w:right="-290"/>
        <w:spacing w:line="360" w:lineRule="auto"/>
        <w:tabs>
          <w:tab w:val="left" w:pos="9000" w:leader="none"/>
        </w:tabs>
        <w:rPr>
          <w:rFonts w:hint="eastAsia"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color w:val="auto"/>
          <w:szCs w:val="24"/>
          <w:highlight w:val="none"/>
        </w:rPr>
      </w:pPr>
      <w:r>
        <w:rPr>
          <w:rFonts w:ascii="宋体" w:hAnsi="宋体"/>
          <w:color w:val="auto"/>
          <w:szCs w:val="24"/>
          <w:highlight w:val="none"/>
        </w:rPr>
        <w:br w:type="page" w:clear="all"/>
      </w:r>
      <w:r/>
    </w:p>
    <w:p>
      <w:pPr>
        <w:spacing w:line="360" w:lineRule="auto"/>
        <w:rPr>
          <w:rFonts w:hint="eastAsia" w:ascii="宋体" w:hAnsi="宋体"/>
          <w:bCs/>
          <w:color w:val="auto"/>
          <w:sz w:val="24"/>
          <w:highlight w:val="none"/>
        </w:rPr>
      </w:pPr>
      <w:r>
        <w:rPr>
          <w:rFonts w:hint="eastAsia" w:ascii="宋体" w:hAnsi="宋体"/>
          <w:color w:val="auto"/>
          <w:sz w:val="24"/>
          <w:szCs w:val="24"/>
          <w:highlight w:val="none"/>
        </w:rPr>
        <w:t xml:space="preserve">7、</w:t>
      </w:r>
      <w:r>
        <w:rPr>
          <w:rFonts w:hint="eastAsia" w:ascii="宋体" w:hAnsi="宋体"/>
          <w:bCs/>
          <w:color w:val="auto"/>
          <w:sz w:val="24"/>
          <w:highlight w:val="none"/>
        </w:rPr>
        <w:t xml:space="preserve">《商务条款偏离表》、《</w:t>
      </w:r>
      <w:r>
        <w:rPr>
          <w:rFonts w:hint="eastAsia" w:hAnsi="宋体"/>
          <w:color w:val="auto"/>
          <w:sz w:val="24"/>
          <w:highlight w:val="none"/>
        </w:rPr>
        <w:t xml:space="preserve">服务要求对照偏离表</w:t>
      </w:r>
      <w:r>
        <w:rPr>
          <w:rFonts w:hint="eastAsia" w:ascii="宋体" w:hAnsi="宋体"/>
          <w:bCs/>
          <w:color w:val="auto"/>
          <w:sz w:val="24"/>
          <w:highlight w:val="none"/>
        </w:rPr>
        <w:t xml:space="preserve">》</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bCs/>
          <w:color w:val="auto"/>
          <w:sz w:val="24"/>
          <w:highlight w:val="none"/>
        </w:rPr>
        <w:t xml:space="preserve">商务条款偏离表》</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商务条款偏离表</w:t>
      </w:r>
      <w:r/>
    </w:p>
    <w:tbl>
      <w:tblPr>
        <w:tblStyle w:val="673"/>
        <w:tblW w:w="91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920"/>
        <w:gridCol w:w="2400"/>
        <w:gridCol w:w="2400"/>
        <w:gridCol w:w="1429"/>
      </w:tblGrid>
      <w:tr>
        <w:trPr>
          <w:jc w:val="center"/>
        </w:trPr>
        <w:tc>
          <w:tcPr>
            <w:tcW w:w="1041"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1920"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招标文件条目号</w:t>
            </w:r>
            <w:r/>
          </w:p>
        </w:tc>
        <w:tc>
          <w:tcPr>
            <w:tcW w:w="2400"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招标文件的商务条款</w:t>
            </w:r>
            <w:r/>
          </w:p>
        </w:tc>
        <w:tc>
          <w:tcPr>
            <w:tcW w:w="2400"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投标文件的商务条款</w:t>
            </w:r>
            <w:r/>
          </w:p>
        </w:tc>
        <w:tc>
          <w:tcPr>
            <w:tcW w:w="1429"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说明</w:t>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1041"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2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2400"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29" w:type="dxa"/>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注：投标单位的投标文件（除技术要求部分）与招标文件规定的有偏离的，应在此表中说明。未在上表中说明的，将被认为完全响应招标文件的规定。</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908"/>
        <w:ind w:right="-290"/>
        <w:spacing w:line="360" w:lineRule="auto"/>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响应单位：（单位盖章）</w:t>
      </w:r>
      <w:r/>
    </w:p>
    <w:p>
      <w:pPr>
        <w:pStyle w:val="908"/>
        <w:ind w:right="-290"/>
        <w:jc w:val="left"/>
        <w:spacing w:line="360" w:lineRule="auto"/>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08"/>
        <w:ind w:right="-290"/>
        <w:spacing w:line="360" w:lineRule="auto"/>
        <w:tabs>
          <w:tab w:val="left" w:pos="9000" w:leader="none"/>
        </w:tabs>
        <w:rPr>
          <w:rFonts w:hAnsi="宋体"/>
          <w:color w:val="auto"/>
          <w:sz w:val="24"/>
          <w:highlight w:val="none"/>
        </w:rPr>
      </w:pPr>
      <w:r>
        <w:rPr>
          <w:rFonts w:hAnsi="宋体" w:eastAsia="宋体"/>
          <w:color w:val="auto"/>
          <w:sz w:val="24"/>
          <w:szCs w:val="24"/>
          <w:highlight w:val="none"/>
        </w:rPr>
        <w:t xml:space="preserve">日期：    年   月   日</w:t>
      </w:r>
      <w:r/>
    </w:p>
    <w:p>
      <w:pPr>
        <w:pStyle w:val="682"/>
        <w:spacing w:line="360" w:lineRule="auto"/>
        <w:tabs>
          <w:tab w:val="left" w:pos="8930" w:leader="none"/>
          <w:tab w:val="left" w:pos="9306" w:leader="none"/>
        </w:tabs>
        <w:rPr>
          <w:rFonts w:hint="eastAsia" w:hAnsi="宋体"/>
          <w:color w:val="auto"/>
          <w:sz w:val="24"/>
          <w:highlight w:val="none"/>
        </w:rPr>
      </w:pPr>
      <w:r>
        <w:rPr>
          <w:rFonts w:hAnsi="宋体"/>
          <w:b/>
          <w:bCs/>
          <w:color w:val="auto"/>
          <w:sz w:val="24"/>
          <w:highlight w:val="none"/>
        </w:rPr>
        <w:br w:type="page" w:clear="all"/>
      </w:r>
      <w:r>
        <w:rPr>
          <w:rFonts w:hint="eastAsia" w:hAnsi="宋体"/>
          <w:color w:val="auto"/>
          <w:sz w:val="24"/>
          <w:highlight w:val="none"/>
        </w:rPr>
        <w:t xml:space="preserve">（2）《</w:t>
      </w:r>
      <w:r>
        <w:rPr>
          <w:rFonts w:hint="eastAsia" w:hAnsi="宋体"/>
          <w:color w:val="auto"/>
          <w:sz w:val="24"/>
          <w:szCs w:val="24"/>
          <w:highlight w:val="none"/>
        </w:rPr>
        <w:t xml:space="preserve">服务要求对照偏离</w:t>
      </w:r>
      <w:r>
        <w:rPr>
          <w:rFonts w:hint="eastAsia" w:hAnsi="宋体"/>
          <w:color w:val="auto"/>
          <w:sz w:val="24"/>
          <w:highlight w:val="none"/>
        </w:rPr>
        <w:t xml:space="preserve">表》</w:t>
      </w:r>
      <w:r/>
    </w:p>
    <w:p>
      <w:pPr>
        <w:pStyle w:val="682"/>
        <w:jc w:val="center"/>
        <w:spacing w:line="360" w:lineRule="auto"/>
        <w:tabs>
          <w:tab w:val="left" w:pos="8930" w:leader="none"/>
          <w:tab w:val="left" w:pos="9306" w:leader="none"/>
        </w:tabs>
        <w:rPr>
          <w:rFonts w:hint="eastAsia" w:hAnsi="宋体"/>
          <w:color w:val="auto"/>
          <w:sz w:val="24"/>
          <w:szCs w:val="24"/>
          <w:highlight w:val="none"/>
        </w:rPr>
      </w:pPr>
      <w:r>
        <w:rPr>
          <w:rFonts w:hint="eastAsia" w:hAnsi="宋体"/>
          <w:color w:val="auto"/>
          <w:sz w:val="24"/>
          <w:szCs w:val="24"/>
          <w:highlight w:val="none"/>
        </w:rPr>
        <w:t xml:space="preserve">服务要求对照偏离表</w:t>
      </w:r>
      <w:r/>
    </w:p>
    <w:p>
      <w:pPr>
        <w:pStyle w:val="682"/>
        <w:jc w:val="center"/>
        <w:spacing w:line="360" w:lineRule="auto"/>
        <w:tabs>
          <w:tab w:val="left" w:pos="8930" w:leader="none"/>
          <w:tab w:val="left" w:pos="9306" w:leader="none"/>
        </w:tabs>
        <w:rPr>
          <w:rFonts w:hint="eastAsia" w:hAnsi="宋体"/>
          <w:color w:val="auto"/>
          <w:sz w:val="24"/>
          <w:szCs w:val="24"/>
          <w:highlight w:val="none"/>
        </w:rPr>
      </w:pPr>
      <w:r>
        <w:rPr>
          <w:rFonts w:hint="eastAsia" w:hAnsi="宋体"/>
          <w:color w:val="auto"/>
          <w:sz w:val="24"/>
          <w:szCs w:val="24"/>
          <w:highlight w:val="none"/>
        </w:rPr>
      </w:r>
      <w:r/>
    </w:p>
    <w:p>
      <w:pPr>
        <w:pStyle w:val="682"/>
        <w:spacing w:line="360" w:lineRule="auto"/>
        <w:tabs>
          <w:tab w:val="left" w:pos="8930" w:leader="none"/>
          <w:tab w:val="left" w:pos="9306" w:leader="none"/>
        </w:tabs>
        <w:rPr>
          <w:rFonts w:hint="eastAsia" w:hAnsi="宋体"/>
          <w:color w:val="auto"/>
          <w:sz w:val="24"/>
          <w:szCs w:val="24"/>
          <w:highlight w:val="none"/>
        </w:rPr>
      </w:pPr>
      <w:r>
        <w:rPr>
          <w:rFonts w:hint="eastAsia" w:hAnsi="宋体"/>
          <w:color w:val="auto"/>
          <w:sz w:val="24"/>
          <w:szCs w:val="24"/>
          <w:highlight w:val="none"/>
        </w:rPr>
        <w:t xml:space="preserve">项目编号：</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号</w:t>
      </w:r>
      <w:r/>
    </w:p>
    <w:tbl>
      <w:tblPr>
        <w:tblStyle w:val="673"/>
        <w:tblW w:w="892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72"/>
        <w:gridCol w:w="1708"/>
        <w:gridCol w:w="2081"/>
        <w:gridCol w:w="2083"/>
        <w:gridCol w:w="2082"/>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vAlign w:val="center"/>
            <w:textDirection w:val="lrTb"/>
            <w:noWrap w:val="false"/>
          </w:tcPr>
          <w:p>
            <w:pPr>
              <w:ind w:left="54"/>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682"/>
        <w:spacing w:line="360" w:lineRule="auto"/>
        <w:tabs>
          <w:tab w:val="left" w:pos="8930" w:leader="none"/>
          <w:tab w:val="left" w:pos="9306" w:leader="none"/>
        </w:tabs>
        <w:rPr>
          <w:rFonts w:hint="eastAsia" w:hAnsi="宋体"/>
          <w:color w:val="auto"/>
          <w:sz w:val="24"/>
          <w:szCs w:val="24"/>
          <w:highlight w:val="none"/>
        </w:rPr>
      </w:pPr>
      <w:r>
        <w:rPr>
          <w:rFonts w:hint="eastAsia" w:hAnsi="宋体"/>
          <w:color w:val="auto"/>
          <w:sz w:val="24"/>
          <w:szCs w:val="24"/>
          <w:highlight w:val="none"/>
        </w:rPr>
      </w:r>
      <w:r/>
    </w:p>
    <w:p>
      <w:pPr>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s="Arial"/>
          <w:bCs/>
          <w:color w:val="auto"/>
          <w:sz w:val="24"/>
          <w:highlight w:val="none"/>
        </w:rPr>
      </w:pPr>
      <w:r>
        <w:rPr>
          <w:rFonts w:ascii="宋体" w:hAnsi="宋体" w:cs="Arial"/>
          <w:bCs/>
          <w:color w:val="auto"/>
          <w:sz w:val="24"/>
          <w:highlight w:val="none"/>
        </w:rPr>
        <w:br w:type="page" w:clear="all"/>
      </w:r>
      <w:r/>
    </w:p>
    <w:p>
      <w:pPr>
        <w:spacing w:line="360" w:lineRule="auto"/>
        <w:rPr>
          <w:rFonts w:hint="eastAsia" w:ascii="宋体" w:hAnsi="宋体" w:cs="Arial"/>
          <w:bCs/>
          <w:color w:val="auto"/>
          <w:sz w:val="24"/>
          <w:highlight w:val="none"/>
        </w:rPr>
      </w:pPr>
      <w:r>
        <w:rPr>
          <w:rFonts w:hint="eastAsia" w:ascii="宋体" w:hAnsi="宋体" w:cs="Arial"/>
          <w:bCs/>
          <w:color w:val="auto"/>
          <w:sz w:val="24"/>
          <w:highlight w:val="none"/>
        </w:rPr>
        <w:t xml:space="preserve">8、</w:t>
      </w:r>
      <w:r>
        <w:rPr>
          <w:rFonts w:ascii="宋体" w:hAnsi="宋体" w:cs="Arial"/>
          <w:bCs/>
          <w:color w:val="auto"/>
          <w:sz w:val="24"/>
          <w:highlight w:val="none"/>
        </w:rPr>
        <w:t xml:space="preserve">有关资格证明文件</w:t>
      </w:r>
      <w:r/>
    </w:p>
    <w:p>
      <w:pPr>
        <w:ind w:firstLine="4320"/>
        <w:spacing w:line="360" w:lineRule="auto"/>
        <w:rPr>
          <w:rFonts w:hint="eastAsia" w:ascii="宋体" w:hAnsi="宋体" w:cs="Arial"/>
          <w:bCs/>
          <w:color w:val="auto"/>
          <w:sz w:val="24"/>
          <w:highlight w:val="none"/>
        </w:rPr>
      </w:pPr>
      <w:r>
        <w:rPr>
          <w:rFonts w:hint="eastAsia" w:ascii="宋体" w:hAnsi="宋体" w:cs="Arial"/>
          <w:bCs/>
          <w:color w:val="auto"/>
          <w:sz w:val="24"/>
          <w:highlight w:val="none"/>
        </w:rPr>
      </w:r>
      <w:r/>
    </w:p>
    <w:p>
      <w:pPr>
        <w:spacing w:line="360" w:lineRule="auto"/>
        <w:rPr>
          <w:rFonts w:hint="eastAsia" w:ascii="宋体" w:hAnsi="宋体" w:cs="Arial"/>
          <w:bCs/>
          <w:color w:val="auto"/>
          <w:sz w:val="24"/>
          <w:highlight w:val="none"/>
        </w:rPr>
        <w:outlineLvl w:val="2"/>
      </w:pPr>
      <w:r>
        <w:rPr>
          <w:rFonts w:ascii="宋体" w:hAnsi="宋体" w:cs="Arial"/>
          <w:bCs/>
          <w:color w:val="auto"/>
          <w:sz w:val="24"/>
          <w:highlight w:val="none"/>
        </w:rPr>
        <w:t xml:space="preserve">1）关于资格文件的声明函</w:t>
      </w:r>
      <w:r/>
    </w:p>
    <w:p>
      <w:pPr>
        <w:jc w:val="center"/>
        <w:spacing w:line="360" w:lineRule="auto"/>
        <w:rPr>
          <w:rFonts w:hint="eastAsia" w:ascii="宋体" w:hAnsi="宋体" w:cs="Arial"/>
          <w:color w:val="auto"/>
          <w:sz w:val="24"/>
          <w:highlight w:val="none"/>
        </w:rPr>
      </w:pPr>
      <w:r>
        <w:rPr>
          <w:rFonts w:ascii="宋体" w:hAnsi="宋体" w:cs="Arial"/>
          <w:color w:val="auto"/>
          <w:sz w:val="24"/>
          <w:highlight w:val="none"/>
        </w:rPr>
        <w:t xml:space="preserve">关于资格文件的声明函</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本公司愿就由贵公司组织实施的项目编号为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hint="eastAsia" w:ascii="宋体" w:hAnsi="宋体"/>
          <w:color w:val="auto"/>
          <w:sz w:val="24"/>
          <w:highlight w:val="none"/>
        </w:rPr>
      </w:pPr>
      <w:r>
        <w:rPr>
          <w:rFonts w:ascii="宋体" w:hAnsi="宋体"/>
          <w:color w:val="auto"/>
          <w:sz w:val="24"/>
          <w:highlight w:val="none"/>
        </w:rPr>
        <w:tab/>
      </w:r>
      <w:r/>
    </w:p>
    <w:p>
      <w:pPr>
        <w:ind w:right="-290"/>
        <w:spacing w:line="360" w:lineRule="auto"/>
        <w:tabs>
          <w:tab w:val="left" w:pos="9000" w:leader="none"/>
        </w:tabs>
        <w:rPr>
          <w:rFonts w:hint="eastAsia" w:ascii="宋体" w:hAnsi="宋体"/>
          <w:color w:val="auto"/>
          <w:sz w:val="24"/>
          <w:highlight w:val="none"/>
        </w:rPr>
      </w:pPr>
      <w:r>
        <w:rPr>
          <w:rFonts w:hint="eastAsia" w:ascii="宋体" w:hAnsi="宋体"/>
          <w:color w:val="auto"/>
          <w:sz w:val="24"/>
          <w:highlight w:val="none"/>
        </w:rPr>
        <w:t xml:space="preserve">供应商</w:t>
      </w:r>
      <w:r>
        <w:rPr>
          <w:rFonts w:ascii="宋体" w:hAnsi="宋体"/>
          <w:color w:val="auto"/>
          <w:sz w:val="24"/>
          <w:highlight w:val="none"/>
        </w:rPr>
        <w:t xml:space="preserve">：（单位盖章）</w:t>
      </w:r>
      <w:r/>
    </w:p>
    <w:p>
      <w:pPr>
        <w:ind w:right="-290"/>
        <w:jc w:val="left"/>
        <w:spacing w:line="360" w:lineRule="auto"/>
        <w:tabs>
          <w:tab w:val="left" w:pos="9000" w:leader="none"/>
        </w:tabs>
        <w:rPr>
          <w:rFonts w:hint="eastAsia" w:ascii="宋体" w:hAnsi="宋体"/>
          <w:color w:val="auto"/>
          <w:sz w:val="24"/>
          <w:highlight w:val="none"/>
        </w:rPr>
      </w:pPr>
      <w:r>
        <w:rPr>
          <w:rFonts w:ascii="宋体" w:hAnsi="宋体"/>
          <w:color w:val="auto"/>
          <w:sz w:val="24"/>
          <w:highlight w:val="none"/>
        </w:rPr>
        <w:t xml:space="preserve">法定代表人或被授权人：（签字或盖章）</w:t>
      </w:r>
      <w:r/>
    </w:p>
    <w:p>
      <w:pPr>
        <w:ind w:right="-290"/>
        <w:jc w:val="left"/>
        <w:spacing w:line="360" w:lineRule="auto"/>
        <w:tabs>
          <w:tab w:val="left" w:pos="9000" w:leader="none"/>
        </w:tabs>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74"/>
        <w:ind w:firstLine="0"/>
        <w:spacing w:line="360" w:lineRule="auto"/>
        <w:rPr>
          <w:rFonts w:hint="eastAsia" w:ascii="宋体" w:hAnsi="宋体" w:eastAsia="宋体"/>
          <w:color w:val="auto"/>
          <w:szCs w:val="24"/>
          <w:highlight w:val="none"/>
        </w:rPr>
        <w:outlineLvl w:val="1"/>
      </w:pPr>
      <w:r>
        <w:rPr>
          <w:rFonts w:ascii="宋体" w:hAnsi="宋体" w:eastAsia="宋体"/>
          <w:color w:val="auto"/>
          <w:szCs w:val="24"/>
          <w:highlight w:val="none"/>
        </w:rPr>
        <w:br w:type="page" w:clear="all"/>
      </w:r>
      <w:r>
        <w:rPr>
          <w:rFonts w:hint="eastAsia" w:ascii="宋体" w:hAnsi="宋体" w:eastAsia="宋体"/>
          <w:color w:val="auto"/>
          <w:szCs w:val="24"/>
          <w:highlight w:val="none"/>
        </w:rPr>
        <w:t xml:space="preserve">（2）响应单位情况表</w:t>
      </w:r>
      <w:r/>
    </w:p>
    <w:p>
      <w:pPr>
        <w:pStyle w:val="874"/>
        <w:ind w:firstLine="0"/>
        <w:jc w:val="center"/>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响应单位情况表</w:t>
      </w:r>
      <w:r/>
    </w:p>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单位名称（盖章）</w:t>
      </w:r>
      <w:r/>
    </w:p>
    <w:tbl>
      <w:tblPr>
        <w:tblStyle w:val="673"/>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w:t>
            </w:r>
            <w:r/>
          </w:p>
        </w:tc>
        <w:tc>
          <w:tcPr>
            <w:tcW w:w="180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c>
          <w:tcPr>
            <w:tcW w:w="2160"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成立日期</w:t>
            </w:r>
            <w:r/>
          </w:p>
        </w:tc>
        <w:tc>
          <w:tcPr>
            <w:gridSpan w:val="2"/>
            <w:tcW w:w="2560" w:type="dxa"/>
            <w:textDirection w:val="lrTb"/>
            <w:noWrap w:val="false"/>
          </w:tcPr>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企业地址</w:t>
            </w:r>
            <w:r/>
          </w:p>
        </w:tc>
        <w:tc>
          <w:tcPr>
            <w:tcW w:w="180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c>
          <w:tcPr>
            <w:tcW w:w="2160"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注册资本</w:t>
            </w:r>
            <w:r/>
          </w:p>
        </w:tc>
        <w:tc>
          <w:tcPr>
            <w:gridSpan w:val="2"/>
            <w:tcW w:w="256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万元</w:t>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经营范围</w:t>
            </w:r>
            <w:r/>
          </w:p>
        </w:tc>
        <w:tc>
          <w:tcPr>
            <w:gridSpan w:val="4"/>
            <w:tcW w:w="65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职工人数</w:t>
            </w:r>
            <w:r/>
          </w:p>
        </w:tc>
        <w:tc>
          <w:tcPr>
            <w:tcW w:w="180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c>
          <w:tcPr>
            <w:gridSpan w:val="2"/>
            <w:tcW w:w="3600"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其中：有中高级以上职称的人数</w:t>
            </w:r>
            <w:r/>
          </w:p>
        </w:tc>
        <w:tc>
          <w:tcPr>
            <w:tcW w:w="11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资产总计</w:t>
            </w:r>
            <w:r/>
          </w:p>
        </w:tc>
        <w:tc>
          <w:tcPr>
            <w:tcW w:w="180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万元</w:t>
            </w:r>
            <w:r/>
          </w:p>
        </w:tc>
        <w:tc>
          <w:tcPr>
            <w:tcW w:w="2160"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净资产</w:t>
            </w:r>
            <w:r/>
          </w:p>
        </w:tc>
        <w:tc>
          <w:tcPr>
            <w:gridSpan w:val="2"/>
            <w:tcW w:w="2560" w:type="dxa"/>
            <w:textDirection w:val="lrTb"/>
            <w:noWrap w:val="false"/>
          </w:tcPr>
          <w:p>
            <w:pPr>
              <w:pStyle w:val="874"/>
              <w:ind w:firstLine="174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万元</w:t>
            </w:r>
            <w:r/>
          </w:p>
        </w:tc>
      </w:tr>
      <w:tr>
        <w:trPr>
          <w:cantSplit/>
          <w:jc w:val="center"/>
        </w:trPr>
        <w:tc>
          <w:tcPr>
            <w:tcW w:w="2953" w:type="dxa"/>
            <w:vAlign w:val="center"/>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股东权益</w:t>
            </w:r>
            <w:r/>
          </w:p>
        </w:tc>
        <w:tc>
          <w:tcPr>
            <w:tcW w:w="1800" w:type="dxa"/>
            <w:vAlign w:val="center"/>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万元</w:t>
            </w:r>
            <w:r/>
          </w:p>
        </w:tc>
        <w:tc>
          <w:tcPr>
            <w:tcW w:w="2160" w:type="dxa"/>
            <w:vAlign w:val="center"/>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销售收入</w:t>
            </w:r>
            <w:r/>
          </w:p>
        </w:tc>
        <w:tc>
          <w:tcPr>
            <w:gridSpan w:val="2"/>
            <w:tcW w:w="2560" w:type="dxa"/>
            <w:textDirection w:val="lrTb"/>
            <w:noWrap w:val="false"/>
          </w:tcPr>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 2024年       万元</w:t>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实现利润</w:t>
            </w:r>
            <w:r/>
          </w:p>
        </w:tc>
        <w:tc>
          <w:tcPr>
            <w:gridSpan w:val="4"/>
            <w:tcW w:w="6520" w:type="dxa"/>
            <w:textDirection w:val="lrTb"/>
            <w:noWrap w:val="false"/>
          </w:tcPr>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2024年    万元</w:t>
            </w:r>
            <w:r/>
          </w:p>
        </w:tc>
      </w:tr>
      <w:tr>
        <w:trPr>
          <w:cantSplit/>
          <w:jc w:val="center"/>
        </w:trPr>
        <w:tc>
          <w:tcPr>
            <w:tcW w:w="2953" w:type="dxa"/>
            <w:vAlign w:val="center"/>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经营面积</w:t>
            </w:r>
            <w:r/>
          </w:p>
        </w:tc>
        <w:tc>
          <w:tcPr>
            <w:tcW w:w="1800" w:type="dxa"/>
            <w:vAlign w:val="center"/>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平方米</w:t>
            </w:r>
            <w:r/>
          </w:p>
        </w:tc>
        <w:tc>
          <w:tcPr>
            <w:tcW w:w="2160" w:type="dxa"/>
            <w:vAlign w:val="center"/>
            <w:textDirection w:val="lrTb"/>
            <w:noWrap w:val="false"/>
          </w:tcPr>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其中：</w:t>
            </w:r>
            <w:r/>
          </w:p>
        </w:tc>
        <w:tc>
          <w:tcPr>
            <w:gridSpan w:val="2"/>
            <w:tcW w:w="2560"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自有面积     平方米</w:t>
            </w:r>
            <w:r/>
          </w:p>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承租面积     平方米</w:t>
            </w:r>
            <w:r/>
          </w:p>
        </w:tc>
      </w:tr>
      <w:tr>
        <w:trPr>
          <w:cantSplit/>
          <w:jc w:val="center"/>
          <w:trHeight w:val="389"/>
        </w:trPr>
        <w:tc>
          <w:tcPr>
            <w:tcW w:w="2953" w:type="dxa"/>
            <w:vAlign w:val="center"/>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单位简历及内设机构情况</w:t>
            </w:r>
            <w:r/>
          </w:p>
        </w:tc>
        <w:tc>
          <w:tcPr>
            <w:gridSpan w:val="4"/>
            <w:tcW w:w="65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Height w:val="255"/>
        </w:trPr>
        <w:tc>
          <w:tcPr>
            <w:tcW w:w="2953" w:type="dxa"/>
            <w:vAlign w:val="center"/>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单位优势及特长</w:t>
            </w:r>
            <w:r/>
          </w:p>
        </w:tc>
        <w:tc>
          <w:tcPr>
            <w:gridSpan w:val="4"/>
            <w:tcW w:w="65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近三年来完成或正在履行的重大合同情况</w:t>
            </w:r>
            <w:r/>
          </w:p>
        </w:tc>
        <w:tc>
          <w:tcPr>
            <w:gridSpan w:val="4"/>
            <w:tcW w:w="65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最近2年内在经营过程中受到何种奖励或处分</w:t>
            </w:r>
            <w:r/>
          </w:p>
        </w:tc>
        <w:tc>
          <w:tcPr>
            <w:gridSpan w:val="4"/>
            <w:tcW w:w="6520" w:type="dxa"/>
            <w:textDirection w:val="lrTb"/>
            <w:noWrap w:val="false"/>
          </w:tcPr>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（包括财政、工商、税务、物价、技监部门稽查情况和结果）</w:t>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最近3年内有无因售假、售劣或是其他原因被消费者投诉或起诉的情况及说明</w:t>
            </w:r>
            <w:r/>
          </w:p>
        </w:tc>
        <w:tc>
          <w:tcPr>
            <w:gridSpan w:val="4"/>
            <w:tcW w:w="6520" w:type="dxa"/>
            <w:textDirection w:val="lrTb"/>
            <w:noWrap w:val="false"/>
          </w:tcPr>
          <w:p>
            <w:pPr>
              <w:pStyle w:val="874"/>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（包括解决方式和结果）</w:t>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最近3年内主要负责人有无经济犯罪被司法机关追究的情意及说明</w:t>
            </w:r>
            <w:r/>
          </w:p>
        </w:tc>
        <w:tc>
          <w:tcPr>
            <w:gridSpan w:val="4"/>
            <w:tcW w:w="65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获得技术认证的工程师及简介</w:t>
            </w:r>
            <w:r/>
          </w:p>
        </w:tc>
        <w:tc>
          <w:tcPr>
            <w:gridSpan w:val="4"/>
            <w:tcW w:w="65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r>
        <w:trPr>
          <w:cantSplit/>
          <w:jc w:val="center"/>
        </w:trPr>
        <w:tc>
          <w:tcPr>
            <w:tcW w:w="2953" w:type="dxa"/>
            <w:textDirection w:val="lrTb"/>
            <w:noWrap w:val="false"/>
          </w:tcPr>
          <w:p>
            <w:pPr>
              <w:pStyle w:val="874"/>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t xml:space="preserve">其他需要说明的情况</w:t>
            </w:r>
            <w:r/>
          </w:p>
        </w:tc>
        <w:tc>
          <w:tcPr>
            <w:gridSpan w:val="4"/>
            <w:tcW w:w="6520" w:type="dxa"/>
            <w:textDirection w:val="lrTb"/>
            <w:noWrap w:val="false"/>
          </w:tcPr>
          <w:p>
            <w:pPr>
              <w:pStyle w:val="874"/>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tc>
      </w:tr>
    </w:tbl>
    <w:p>
      <w:pPr>
        <w:pStyle w:val="874"/>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bCs/>
          <w:color w:val="auto"/>
          <w:sz w:val="24"/>
          <w:highlight w:val="none"/>
        </w:rPr>
      </w:pPr>
      <w:r>
        <w:rPr>
          <w:rFonts w:ascii="宋体" w:hAnsi="宋体"/>
          <w:bCs/>
          <w:color w:val="auto"/>
          <w:sz w:val="24"/>
          <w:highlight w:val="none"/>
        </w:rPr>
        <w:br w:type="page" w:clear="all"/>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9、中小企业声明函（格式）</w:t>
      </w:r>
      <w:r/>
    </w:p>
    <w:p>
      <w:pPr>
        <w:jc w:val="center"/>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中小企业声明函（货物）</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本公司（联合体）郑重声明，根据《政府采购促进中小 企业发展管理办法》（财库﹝2020﹞46 号）的规定，本公司 （联合体）参加</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（单位名称）的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3"/>
        </w:num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（标的名称）</w:t>
      </w:r>
      <w:r>
        <w:rPr>
          <w:rFonts w:hint="eastAsia" w:ascii="宋体" w:hAnsi="宋体" w:cs="宋体"/>
          <w:color w:val="auto"/>
          <w:sz w:val="24"/>
          <w:highlight w:val="none"/>
        </w:rPr>
        <w:t xml:space="preserve">，</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（采购文件中明确的所属行业） 行业；制造商为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（企业名称）</w:t>
      </w:r>
      <w:r>
        <w:rPr>
          <w:rFonts w:hint="eastAsia" w:ascii="宋体" w:hAnsi="宋体" w:cs="宋体"/>
          <w:color w:val="auto"/>
          <w:sz w:val="24"/>
          <w:highlight w:val="none"/>
        </w:rPr>
        <w:t xml:space="preserve">，</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w:t>
      </w:r>
      <w:r>
        <w:rPr>
          <w:rFonts w:hint="eastAsia" w:ascii="宋体" w:hAnsi="宋体" w:cs="宋体"/>
          <w:color w:val="auto"/>
          <w:sz w:val="24"/>
          <w:highlight w:val="none"/>
        </w:rPr>
        <w:t xml:space="preserve">，</w:t>
      </w:r>
      <w:r>
        <w:rPr>
          <w:rFonts w:ascii="宋体" w:hAnsi="宋体" w:cs="宋体"/>
          <w:color w:val="auto"/>
          <w:sz w:val="24"/>
          <w:highlight w:val="none"/>
        </w:rPr>
        <w:t xml:space="preserve">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w:t>
      </w:r>
      <w:r>
        <w:rPr>
          <w:rFonts w:hint="eastAsia" w:ascii="宋体" w:hAnsi="宋体" w:cs="宋体"/>
          <w:color w:val="auto"/>
          <w:sz w:val="24"/>
          <w:highlight w:val="none"/>
        </w:rPr>
        <w:t xml:space="preserve">，</w:t>
      </w:r>
      <w:r>
        <w:rPr>
          <w:rFonts w:ascii="宋体" w:hAnsi="宋体" w:cs="宋体"/>
          <w:color w:val="auto"/>
          <w:sz w:val="24"/>
          <w:highlight w:val="none"/>
        </w:rPr>
        <w:t xml:space="preserve">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w:t>
      </w:r>
      <w:r>
        <w:rPr>
          <w:rFonts w:hint="eastAsia" w:ascii="宋体" w:hAnsi="宋体" w:cs="宋体"/>
          <w:color w:val="auto"/>
          <w:sz w:val="24"/>
          <w:highlight w:val="none"/>
        </w:rPr>
        <w:t xml:space="preserve">，</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（中型企业、小型企业、微型企业）； </w:t>
      </w:r>
      <w:r/>
    </w:p>
    <w:p>
      <w:pPr>
        <w:numPr>
          <w:ilvl w:val="0"/>
          <w:numId w:val="3"/>
        </w:num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（标的名称）</w:t>
      </w:r>
      <w:r>
        <w:rPr>
          <w:rFonts w:hint="eastAsia" w:ascii="宋体" w:hAnsi="宋体" w:cs="宋体"/>
          <w:color w:val="auto"/>
          <w:sz w:val="24"/>
          <w:highlight w:val="none"/>
        </w:rPr>
        <w:t xml:space="preserve">，</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（采购文件中明确的所属行业）行业；制造商为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（企业名称）</w:t>
      </w:r>
      <w:r>
        <w:rPr>
          <w:rFonts w:hint="eastAsia" w:ascii="宋体" w:hAnsi="宋体" w:cs="宋体"/>
          <w:color w:val="auto"/>
          <w:sz w:val="24"/>
          <w:highlight w:val="none"/>
        </w:rPr>
        <w:t xml:space="preserve">，</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w:t>
      </w:r>
      <w:r>
        <w:rPr>
          <w:rFonts w:hint="eastAsia" w:ascii="宋体" w:hAnsi="宋体" w:cs="宋体"/>
          <w:color w:val="auto"/>
          <w:sz w:val="24"/>
          <w:highlight w:val="none"/>
        </w:rPr>
        <w:t xml:space="preserve">，</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（中型企业、小型企业、微型企业）；</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 </w:t>
      </w:r>
      <w:r/>
    </w:p>
    <w:p>
      <w:pPr>
        <w:ind w:firstLine="480"/>
        <w:jc w:val="cente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企业名称（盖章）： </w:t>
      </w:r>
      <w:r/>
    </w:p>
    <w:p>
      <w:pPr>
        <w:ind w:firstLine="480"/>
        <w:jc w:val="center"/>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日 期：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ascii="宋体" w:hAnsi="宋体" w:cs="宋体"/>
          <w:color w:val="auto"/>
          <w:sz w:val="24"/>
          <w:highlight w:val="none"/>
        </w:rPr>
        <w:t xml:space="preserve">从业人员、营业收入、资产总额填报上一年度数据，无上一年度数据的新成立企业可不填报。</w:t>
      </w:r>
      <w:r/>
    </w:p>
    <w:p>
      <w:pPr>
        <w:rPr>
          <w:rFonts w:hint="eastAsia" w:ascii="宋体" w:hAnsi="宋体"/>
          <w:color w:val="auto"/>
          <w:highlight w:val="none"/>
        </w:rPr>
      </w:pPr>
      <w:r>
        <w:rPr>
          <w:rFonts w:ascii="宋体" w:hAnsi="宋体"/>
          <w:color w:val="auto"/>
          <w:highlight w:val="none"/>
        </w:rPr>
        <w:br w:type="page" w:clear="all"/>
      </w:r>
      <w:r/>
    </w:p>
    <w:p>
      <w:pPr>
        <w:pStyle w:val="886"/>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tabs>
          <w:tab w:val="left" w:pos="8930" w:leader="none"/>
          <w:tab w:val="left" w:pos="9306" w:leader="none"/>
        </w:tabs>
        <w:rPr>
          <w:rFonts w:hint="eastAsia" w:ascii="宋体" w:hAnsi="宋体" w:cs="宋体"/>
          <w:color w:val="auto"/>
          <w:sz w:val="24"/>
          <w:szCs w:val="24"/>
          <w:highlight w:val="none"/>
        </w:rPr>
      </w:pPr>
      <w:r>
        <w:rPr>
          <w:rFonts w:ascii="宋体" w:hAnsi="宋体" w:cs="宋体"/>
          <w:color w:val="auto"/>
          <w:sz w:val="24"/>
          <w:highlight w:val="none"/>
        </w:rPr>
        <w:t xml:space="preserve">中小企业声明函（工程、服务）</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（单位名称）的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4"/>
        </w:num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（标的名称），属于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（采购文件中明确的所属行业）；承建（承接）企业为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（企业名称）</w:t>
      </w:r>
      <w:r>
        <w:rPr>
          <w:rFonts w:hint="eastAsia" w:ascii="宋体" w:hAnsi="宋体" w:cs="宋体"/>
          <w:color w:val="auto"/>
          <w:sz w:val="24"/>
          <w:highlight w:val="none"/>
        </w:rPr>
        <w:t xml:space="preserve">，</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w:t>
      </w:r>
      <w:r>
        <w:rPr>
          <w:rFonts w:hint="eastAsia" w:ascii="宋体" w:hAnsi="宋体" w:cs="宋体"/>
          <w:color w:val="auto"/>
          <w:sz w:val="24"/>
          <w:highlight w:val="none"/>
        </w:rPr>
        <w:t xml:space="preserve">，</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（中型企业、小型企业、微型企业）； </w:t>
      </w:r>
      <w:r/>
    </w:p>
    <w:p>
      <w:pPr>
        <w:numPr>
          <w:ilvl w:val="0"/>
          <w:numId w:val="4"/>
        </w:num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 （标的名称）</w:t>
      </w:r>
      <w:r>
        <w:rPr>
          <w:rFonts w:hint="eastAsia" w:ascii="宋体" w:hAnsi="宋体" w:cs="宋体"/>
          <w:color w:val="auto"/>
          <w:sz w:val="24"/>
          <w:highlight w:val="none"/>
        </w:rPr>
        <w:t xml:space="preserve">，</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（采购文件中明确的所属行业）；承建（承接）企业为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（企业名称）</w:t>
      </w:r>
      <w:r>
        <w:rPr>
          <w:rFonts w:hint="eastAsia" w:ascii="宋体" w:hAnsi="宋体" w:cs="宋体"/>
          <w:color w:val="auto"/>
          <w:sz w:val="24"/>
          <w:highlight w:val="none"/>
        </w:rPr>
        <w:t xml:space="preserve">，</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w:t>
      </w:r>
      <w:r>
        <w:rPr>
          <w:rFonts w:hint="eastAsia" w:ascii="宋体" w:hAnsi="宋体" w:cs="宋体"/>
          <w:color w:val="auto"/>
          <w:sz w:val="24"/>
          <w:highlight w:val="none"/>
        </w:rPr>
        <w:t xml:space="preserve">，</w:t>
      </w:r>
      <w:r>
        <w:rPr>
          <w:rFonts w:ascii="宋体" w:hAnsi="宋体" w:cs="宋体"/>
          <w:color w:val="auto"/>
          <w:sz w:val="24"/>
          <w:highlight w:val="none"/>
        </w:rPr>
        <w:t xml:space="preserve">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w:t>
      </w:r>
      <w:r>
        <w:rPr>
          <w:rFonts w:hint="eastAsia" w:ascii="宋体" w:hAnsi="宋体" w:cs="宋体"/>
          <w:color w:val="auto"/>
          <w:sz w:val="24"/>
          <w:highlight w:val="none"/>
        </w:rPr>
        <w:t xml:space="preserve">，</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（中型企业、 小型企业、微型企业）；</w:t>
      </w:r>
      <w:r/>
    </w:p>
    <w:p>
      <w:pPr>
        <w:ind w:left="42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 …… </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ind w:firstLine="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6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企业名称（盖章）： </w:t>
      </w:r>
      <w:r/>
    </w:p>
    <w:p>
      <w:pPr>
        <w:ind w:firstLine="6480"/>
        <w:jc w:val="left"/>
        <w:spacing w:line="360" w:lineRule="auto"/>
        <w:tabs>
          <w:tab w:val="left" w:pos="8930" w:leader="none"/>
          <w:tab w:val="left" w:pos="9306" w:leader="none"/>
        </w:tabs>
        <w:rPr>
          <w:rFonts w:hint="eastAsia" w:ascii="宋体" w:hAnsi="宋体" w:cs="宋体"/>
          <w:color w:val="auto"/>
          <w:sz w:val="24"/>
          <w:highlight w:val="none"/>
        </w:rPr>
      </w:pPr>
      <w:r>
        <w:rPr>
          <w:rFonts w:ascii="宋体" w:hAnsi="宋体" w:cs="宋体"/>
          <w:color w:val="auto"/>
          <w:sz w:val="24"/>
          <w:highlight w:val="none"/>
        </w:rPr>
        <w:t xml:space="preserve">日 期： </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s="宋体"/>
          <w:color w:val="auto"/>
          <w:sz w:val="24"/>
          <w:highlight w:val="none"/>
        </w:rPr>
        <w:t xml:space="preserve">注：</w:t>
      </w:r>
      <w:r>
        <w:rPr>
          <w:rFonts w:ascii="宋体" w:hAnsi="宋体" w:cs="宋体"/>
          <w:color w:val="auto"/>
          <w:sz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8930" w:leader="none"/>
          <w:tab w:val="left" w:pos="9306" w:leader="none"/>
        </w:tabs>
        <w:rPr>
          <w:rFonts w:hint="eastAsia" w:ascii="宋体" w:hAnsi="宋体"/>
          <w:color w:val="auto"/>
          <w:sz w:val="24"/>
          <w:highlight w:val="none"/>
        </w:rPr>
        <w:sectPr>
          <w:footerReference w:type="default" r:id="rId10"/>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color w:val="auto"/>
          <w:sz w:val="24"/>
          <w:highlight w:val="none"/>
        </w:rPr>
      </w:r>
      <w:r/>
    </w:p>
    <w:p>
      <w:pPr>
        <w:jc w:val="left"/>
        <w:spacing w:line="360" w:lineRule="auto"/>
        <w:rPr>
          <w:rFonts w:ascii="Calibri" w:hAnsi="Calibri"/>
          <w:b/>
          <w:bCs/>
          <w:color w:val="auto"/>
          <w:sz w:val="24"/>
          <w:szCs w:val="24"/>
          <w:highlight w:val="none"/>
        </w:rPr>
      </w:pPr>
      <w:r>
        <w:rPr>
          <w:rFonts w:hint="eastAsia" w:ascii="Calibri" w:hAnsi="Calibri"/>
          <w:b/>
          <w:bCs/>
          <w:color w:val="auto"/>
          <w:sz w:val="24"/>
          <w:szCs w:val="24"/>
          <w:highlight w:val="none"/>
        </w:rPr>
        <w:t xml:space="preserve">附件：政府采购合同信用融资政策告知函</w:t>
      </w:r>
      <w:r/>
    </w:p>
    <w:p>
      <w:pPr>
        <w:jc w:val="center"/>
        <w:spacing w:line="360" w:lineRule="auto"/>
        <w:rPr>
          <w:rFonts w:ascii="Calibri" w:hAnsi="Calibri"/>
          <w:b/>
          <w:bCs/>
          <w:color w:val="auto"/>
          <w:sz w:val="24"/>
          <w:szCs w:val="24"/>
          <w:highlight w:val="none"/>
        </w:rPr>
      </w:pPr>
      <w:r>
        <w:rPr>
          <w:rFonts w:ascii="Calibri" w:hAnsi="Calibri"/>
          <w:b/>
          <w:bCs/>
          <w:color w:val="auto"/>
          <w:sz w:val="24"/>
          <w:szCs w:val="24"/>
          <w:highlight w:val="none"/>
        </w:rPr>
      </w:r>
      <w:r/>
    </w:p>
    <w:p>
      <w:pPr>
        <w:jc w:val="center"/>
        <w:spacing w:line="360" w:lineRule="auto"/>
        <w:rPr>
          <w:rFonts w:ascii="Calibri" w:hAnsi="Calibri"/>
          <w:b/>
          <w:bCs/>
          <w:color w:val="auto"/>
          <w:sz w:val="24"/>
          <w:szCs w:val="24"/>
          <w:highlight w:val="none"/>
        </w:rPr>
      </w:pPr>
      <w:r>
        <w:rPr>
          <w:rFonts w:hint="eastAsia" w:ascii="Calibri" w:hAnsi="Calibri"/>
          <w:b/>
          <w:bCs/>
          <w:color w:val="auto"/>
          <w:sz w:val="24"/>
          <w:szCs w:val="24"/>
          <w:highlight w:val="none"/>
        </w:rPr>
        <w:t xml:space="preserve">政府采购合同信用融资政策告知函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各政府采购供应商: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欢迎贵公司参加苏州市政府采购活动!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665"/>
        <w:spacing w:line="360" w:lineRule="auto"/>
        <w:rPr>
          <w:color w:val="auto"/>
          <w:sz w:val="24"/>
          <w:szCs w:val="24"/>
          <w:highlight w:val="none"/>
        </w:rPr>
        <w:sectPr>
          <w:footnotePr/>
          <w:endnotePr/>
          <w:type w:val="nextPage"/>
          <w:pgSz w:w="11906" w:h="16838" w:orient="portrait"/>
          <w:pgMar w:top="1247" w:right="1247" w:bottom="1247" w:left="1247" w:header="851" w:footer="992" w:gutter="0"/>
          <w:cols w:num="1" w:sep="0" w:space="1701" w:equalWidth="1"/>
          <w:docGrid w:linePitch="360"/>
        </w:sectPr>
      </w:pPr>
      <w:r>
        <w:rPr>
          <w:color w:val="auto"/>
          <w:sz w:val="24"/>
          <w:szCs w:val="24"/>
          <w:highlight w:val="none"/>
        </w:rPr>
      </w:r>
      <w:r/>
    </w:p>
    <w:p>
      <w:pPr>
        <w:jc w:val="left"/>
        <w:spacing w:line="360" w:lineRule="auto"/>
        <w:tabs>
          <w:tab w:val="left" w:pos="8930" w:leader="none"/>
          <w:tab w:val="left" w:pos="9306" w:leader="none"/>
        </w:tabs>
        <w:rPr>
          <w:rFonts w:hint="eastAsia" w:ascii="宋体" w:hAnsi="宋体"/>
          <w:color w:val="auto"/>
          <w:sz w:val="24"/>
          <w:szCs w:val="24"/>
          <w:highlight w:val="none"/>
        </w:rPr>
      </w:pPr>
      <w:r>
        <w:rPr>
          <w:rFonts w:hint="eastAsia" w:ascii="宋体" w:hAnsi="宋体"/>
          <w:color w:val="auto"/>
          <w:sz w:val="24"/>
          <w:highlight w:val="none"/>
        </w:rPr>
        <w:t xml:space="preserve">10、投标（响应）保证承诺书（参考格式）</w:t>
      </w:r>
      <w:r/>
    </w:p>
    <w:p>
      <w:pPr>
        <w:jc w:val="center"/>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致：</w:t>
      </w:r>
      <w:r>
        <w:rPr>
          <w:rFonts w:hint="cs" w:ascii="宋体" w:hAnsi="宋体"/>
          <w:color w:val="auto"/>
          <w:sz w:val="24"/>
          <w:highlight w:val="none"/>
          <w:u w:val="single"/>
          <w:cs/>
        </w:rPr>
        <w:t xml:space="preserve"> </w:t>
      </w:r>
      <w:r>
        <w:rPr>
          <w:rFonts w:hint="eastAsia" w:ascii="宋体" w:hAnsi="宋体"/>
          <w:color w:val="auto"/>
          <w:sz w:val="24"/>
          <w:highlight w:val="none"/>
          <w:u w:val="single"/>
        </w:rPr>
        <w:t xml:space="preserve">（采购代理机构名称）</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我（单位</w:t>
      </w:r>
      <w:r>
        <w:rPr>
          <w:rFonts w:ascii="宋体" w:hAnsi="宋体"/>
          <w:color w:val="auto"/>
          <w:sz w:val="24"/>
          <w:highlight w:val="none"/>
        </w:rPr>
        <w:t xml:space="preserve">/</w:t>
      </w:r>
      <w:r>
        <w:rPr>
          <w:rFonts w:hint="eastAsia" w:ascii="宋体" w:hAnsi="宋体"/>
          <w:color w:val="auto"/>
          <w:sz w:val="24"/>
          <w:highlight w:val="none"/>
        </w:rPr>
        <w:t xml:space="preserve">本人，以下统称我单位）自愿参加</w:t>
      </w:r>
      <w:r>
        <w:rPr>
          <w:rFonts w:hint="cs" w:ascii="宋体" w:hAnsi="宋体"/>
          <w:color w:val="auto"/>
          <w:sz w:val="24"/>
          <w:highlight w:val="none"/>
          <w:u w:val="single"/>
          <w:cs/>
        </w:rPr>
        <w:t xml:space="preserve">     </w:t>
      </w:r>
      <w:r>
        <w:rPr>
          <w:rFonts w:hint="eastAsia" w:ascii="宋体" w:hAnsi="宋体"/>
          <w:color w:val="auto"/>
          <w:sz w:val="24"/>
          <w:highlight w:val="none"/>
        </w:rPr>
        <w:t xml:space="preserve">（项目名称和项目编号）的投标（响应）</w:t>
      </w:r>
      <w:r>
        <w:rPr>
          <w:rFonts w:ascii="宋体" w:hAnsi="宋体"/>
          <w:color w:val="auto"/>
          <w:sz w:val="24"/>
          <w:highlight w:val="none"/>
        </w:rPr>
        <w:t xml:space="preserve">,</w:t>
      </w:r>
      <w:r>
        <w:rPr>
          <w:rFonts w:hint="eastAsia" w:ascii="宋体" w:hAnsi="宋体"/>
          <w:color w:val="auto"/>
          <w:sz w:val="24"/>
          <w:highlight w:val="none"/>
        </w:rPr>
        <w:t xml:space="preserve">并做出如下承诺：</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一、除不可抗力外，我单位如果发生以下行为，将在行为发生的10个工作日内，向贵方</w:t>
      </w:r>
      <w:r>
        <w:rPr>
          <w:rFonts w:hint="eastAsia" w:ascii="宋体" w:hAnsi="宋体"/>
          <w:color w:val="auto"/>
          <w:sz w:val="24"/>
          <w:highlight w:val="none"/>
          <w:u w:val="single"/>
        </w:rPr>
        <w:t xml:space="preserve">（或采购人）</w:t>
      </w:r>
      <w:r>
        <w:rPr>
          <w:rFonts w:hint="eastAsia" w:ascii="宋体" w:hAnsi="宋体"/>
          <w:color w:val="auto"/>
          <w:sz w:val="24"/>
          <w:highlight w:val="none"/>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2、中标（成交）后不依法与采购人签订合同；</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4、中标（成交）后不按本采购文件规定向贵方缴纳采购代理费。</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二、我单位知晓上述行为的法律后果，承认本承诺书作为贵方</w:t>
      </w:r>
      <w:r>
        <w:rPr>
          <w:rFonts w:hint="eastAsia" w:ascii="宋体" w:hAnsi="宋体"/>
          <w:color w:val="auto"/>
          <w:sz w:val="24"/>
          <w:highlight w:val="none"/>
          <w:u w:val="single"/>
        </w:rPr>
        <w:t xml:space="preserve">（或采购人）</w:t>
      </w:r>
      <w:r>
        <w:rPr>
          <w:rFonts w:hint="eastAsia" w:ascii="宋体" w:hAnsi="宋体"/>
          <w:color w:val="auto"/>
          <w:sz w:val="24"/>
          <w:highlight w:val="none"/>
        </w:rPr>
        <w:t xml:space="preserve">要求我单位履行违约赔偿义务的依据作用。</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投标（响应）人：（盖公章）</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地址：</w:t>
      </w:r>
      <w:r>
        <w:rPr>
          <w:rFonts w:hint="cs" w:ascii="宋体" w:hAnsi="宋体"/>
          <w:color w:val="auto"/>
          <w:sz w:val="24"/>
          <w:highlight w:val="none"/>
          <w:cs/>
        </w:rPr>
        <w:t xml:space="preserve">     </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电话：</w:t>
      </w:r>
      <w:r>
        <w:rPr>
          <w:rFonts w:hint="cs" w:ascii="宋体" w:hAnsi="宋体"/>
          <w:color w:val="auto"/>
          <w:sz w:val="24"/>
          <w:highlight w:val="none"/>
          <w:cs/>
        </w:rPr>
        <w:t xml:space="preserve">              </w:t>
      </w:r>
      <w:r>
        <w:rPr>
          <w:rFonts w:ascii="宋体" w:hAnsi="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传真：</w:t>
      </w:r>
      <w:r>
        <w:rPr>
          <w:rFonts w:hint="cs" w:ascii="宋体" w:hAnsi="宋体"/>
          <w:color w:val="auto"/>
          <w:sz w:val="24"/>
          <w:highlight w:val="none"/>
          <w:cs/>
        </w:rPr>
        <w:t xml:space="preserve">     </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电子邮件：</w:t>
      </w:r>
      <w:r>
        <w:rPr>
          <w:rFonts w:hint="cs" w:ascii="宋体" w:hAnsi="宋体"/>
          <w:color w:val="auto"/>
          <w:sz w:val="24"/>
          <w:highlight w:val="none"/>
          <w:cs/>
        </w:rPr>
        <w:t xml:space="preserve">                </w:t>
      </w:r>
      <w:r>
        <w:rPr>
          <w:rFonts w:ascii="宋体" w:hAnsi="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邮编：</w:t>
      </w:r>
      <w:r>
        <w:rPr>
          <w:rFonts w:hint="cs" w:ascii="宋体" w:hAnsi="宋体"/>
          <w:color w:val="auto"/>
          <w:sz w:val="24"/>
          <w:highlight w:val="none"/>
          <w:cs/>
        </w:rPr>
        <w:t xml:space="preserve">   </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法定代表人或委托代理人</w:t>
      </w:r>
      <w:r>
        <w:rPr>
          <w:rFonts w:ascii="宋体" w:hAnsi="宋体"/>
          <w:color w:val="auto"/>
          <w:sz w:val="24"/>
          <w:highlight w:val="none"/>
        </w:rPr>
        <w:t xml:space="preserve">(</w:t>
      </w:r>
      <w:r>
        <w:rPr>
          <w:rFonts w:hint="eastAsia" w:ascii="宋体" w:hAnsi="宋体"/>
          <w:color w:val="auto"/>
          <w:sz w:val="24"/>
          <w:highlight w:val="none"/>
        </w:rPr>
        <w:t xml:space="preserve">签字或签章</w:t>
      </w:r>
      <w:r>
        <w:rPr>
          <w:rFonts w:ascii="宋体" w:hAnsi="宋体"/>
          <w:color w:val="auto"/>
          <w:sz w:val="24"/>
          <w:highlight w:val="none"/>
        </w:rPr>
        <w:t xml:space="preserve">)</w:t>
      </w:r>
      <w:r>
        <w:rPr>
          <w:rFonts w:hint="eastAsia" w:ascii="宋体" w:hAnsi="宋体"/>
          <w:color w:val="auto"/>
          <w:sz w:val="24"/>
          <w:highlight w:val="none"/>
        </w:rPr>
        <w:t xml:space="preserve">：</w:t>
      </w:r>
      <w:r>
        <w:rPr>
          <w:rFonts w:hint="cs" w:ascii="宋体" w:hAnsi="宋体"/>
          <w:color w:val="auto"/>
          <w:sz w:val="24"/>
          <w:highlight w:val="none"/>
          <w:cs/>
        </w:rPr>
        <w:t xml:space="preserve">   </w:t>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日期：</w:t>
      </w:r>
      <w:r>
        <w:rPr>
          <w:rFonts w:hint="cs" w:ascii="宋体" w:hAnsi="宋体"/>
          <w:color w:val="auto"/>
          <w:sz w:val="24"/>
          <w:highlight w:val="none"/>
          <w:cs/>
        </w:rPr>
        <w:t xml:space="preserve">      </w:t>
      </w:r>
      <w:r/>
    </w:p>
    <w:p>
      <w:pPr>
        <w:rPr>
          <w:rFonts w:hint="eastAsia" w:ascii="宋体" w:hAnsi="宋体"/>
          <w:color w:val="auto"/>
          <w:highlight w:val="none"/>
        </w:rPr>
      </w:pPr>
      <w:r>
        <w:rPr>
          <w:rFonts w:ascii="宋体" w:hAnsi="宋体"/>
          <w:color w:val="auto"/>
          <w:highlight w:val="none"/>
        </w:rPr>
        <w:br w:type="page" w:clear="all"/>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11、残疾人福利性单位声明函（格式）</w:t>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highlight w:val="none"/>
          <w:u w:val="single"/>
        </w:rPr>
        <w:t xml:space="preserve">___       ___</w:t>
      </w:r>
      <w:r>
        <w:rPr>
          <w:rFonts w:hint="eastAsia" w:ascii="宋体" w:hAnsi="宋体"/>
          <w:color w:val="auto"/>
          <w:sz w:val="24"/>
          <w:highlight w:val="none"/>
        </w:rPr>
        <w:t xml:space="preserve">单位的___</w:t>
      </w:r>
      <w:r>
        <w:rPr>
          <w:rFonts w:hint="eastAsia" w:ascii="宋体" w:hAnsi="宋体"/>
          <w:color w:val="auto"/>
          <w:sz w:val="24"/>
          <w:highlight w:val="none"/>
          <w:u w:val="single"/>
        </w:rPr>
        <w:t xml:space="preserve">_      _</w:t>
      </w:r>
      <w:r>
        <w:rPr>
          <w:rFonts w:hint="eastAsia" w:ascii="宋体" w:hAnsi="宋体"/>
          <w:color w:val="auto"/>
          <w:sz w:val="24"/>
          <w:highlight w:val="none"/>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  单位名称（盖章）：</w:t>
      </w:r>
      <w:r/>
    </w:p>
    <w:p>
      <w:pPr>
        <w:jc w:val="left"/>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  日  期：</w:t>
      </w:r>
      <w:r/>
    </w:p>
    <w:p>
      <w:pPr>
        <w:pStyle w:val="874"/>
        <w:ind w:firstLine="0"/>
        <w:jc w:val="both"/>
        <w:spacing w:before="156" w:after="156" w:line="360" w:lineRule="auto"/>
        <w:rPr>
          <w:rFonts w:hint="eastAsia" w:ascii="宋体" w:hAnsi="宋体" w:eastAsia="宋体" w:cs="宋体"/>
          <w:color w:val="auto"/>
          <w:szCs w:val="24"/>
          <w:highlight w:val="none"/>
        </w:rPr>
        <w:outlineLvl w:val="2"/>
      </w:pPr>
      <w:r>
        <w:rPr>
          <w:rFonts w:hint="eastAsia" w:ascii="宋体" w:hAnsi="宋体"/>
          <w:color w:val="auto"/>
          <w:highlight w:val="none"/>
        </w:rPr>
        <w:br w:type="page" w:clear="all"/>
      </w:r>
      <w:r>
        <w:rPr>
          <w:rFonts w:hint="eastAsia" w:ascii="宋体" w:hAnsi="宋体"/>
          <w:color w:val="auto"/>
          <w:highlight w:val="none"/>
        </w:rPr>
        <w:t xml:space="preserve">12、</w:t>
      </w:r>
      <w:r>
        <w:rPr>
          <w:rFonts w:hint="eastAsia" w:ascii="宋体" w:hAnsi="宋体" w:eastAsia="宋体" w:cs="宋体"/>
          <w:color w:val="auto"/>
          <w:szCs w:val="24"/>
          <w:highlight w:val="none"/>
        </w:rPr>
        <w:t xml:space="preserve">开票信息</w:t>
      </w:r>
      <w:r/>
    </w:p>
    <w:p>
      <w:pPr>
        <w:ind w:left="420"/>
        <w:spacing w:after="120" w:line="360" w:lineRule="auto"/>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开票信息</w:t>
      </w:r>
      <w:r/>
    </w:p>
    <w:tbl>
      <w:tblPr>
        <w:tblStyle w:val="67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p>
        </w:tc>
        <w:tc>
          <w:tcPr>
            <w:tcW w:w="663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663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W w:w="663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w:t>
            </w:r>
            <w:r/>
          </w:p>
        </w:tc>
        <w:tc>
          <w:tcPr>
            <w:tcW w:w="663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w:t>
            </w:r>
            <w:r/>
          </w:p>
        </w:tc>
        <w:tc>
          <w:tcPr>
            <w:tcW w:w="663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c>
          <w:tcPr>
            <w:tcW w:w="663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2"/>
        <w:ind w:firstLine="480"/>
        <w:spacing w:line="360" w:lineRule="auto"/>
        <w:rPr>
          <w:rFonts w:hint="eastAsia" w:hAnsi="宋体" w:cs="宋体"/>
          <w:color w:val="auto"/>
          <w:sz w:val="24"/>
          <w:highlight w:val="none"/>
        </w:rPr>
      </w:pPr>
      <w:r>
        <w:rPr>
          <w:rFonts w:hint="eastAsia" w:hAnsi="宋体" w:cs="宋体"/>
          <w:color w:val="auto"/>
          <w:sz w:val="24"/>
          <w:highlight w:val="none"/>
        </w:rPr>
      </w:r>
      <w:r/>
    </w:p>
    <w:p>
      <w:pPr>
        <w:pStyle w:val="904"/>
        <w:spacing w:line="360" w:lineRule="auto"/>
        <w:rPr>
          <w:color w:val="auto"/>
          <w:highlight w:val="none"/>
        </w:rPr>
      </w:pPr>
      <w:r>
        <w:rPr>
          <w:color w:val="auto"/>
          <w:highlight w:val="none"/>
        </w:rPr>
      </w:r>
      <w:r/>
    </w:p>
    <w:p>
      <w:pPr>
        <w:ind w:firstLine="57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单位名称（盖章）：</w:t>
      </w:r>
      <w:r/>
    </w:p>
    <w:p>
      <w:pPr>
        <w:ind w:firstLine="57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360" w:lineRule="auto"/>
        <w:rPr>
          <w:rFonts w:eastAsia="Times New Roman"/>
          <w:color w:val="auto"/>
          <w:sz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rFonts w:hint="eastAsia" w:ascii="宋体" w:hAnsi="宋体" w:cs="宋体"/>
          <w:color w:val="auto"/>
          <w:sz w:val="24"/>
          <w:highlight w:val="none"/>
        </w:rPr>
      </w:pPr>
      <w:r>
        <w:rPr>
          <w:rFonts w:ascii="宋体" w:hAnsi="宋体" w:cs="宋体"/>
          <w:color w:val="auto"/>
          <w:sz w:val="24"/>
          <w:highlight w:val="none"/>
        </w:rPr>
        <w:br w:type="page" w:clear="all"/>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13、供应商与其他单位存在控股、管理关系情况表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13"/>
          <w:sz w:val="32"/>
          <w:highlight w:val="none"/>
        </w:rPr>
        <w:t xml:space="preserve">供应商与其他单位存在控股、管理关系情况表</w:t>
      </w:r>
      <w:r/>
    </w:p>
    <w:tbl>
      <w:tblPr>
        <w:tblStyle w:val="704"/>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7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3"/>
                <w:sz w:val="24"/>
                <w:highlight w:val="none"/>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78"/>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1"/>
                <w:sz w:val="24"/>
                <w:highlight w:val="none"/>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tc>
      </w:tr>
    </w:tbl>
    <w:p>
      <w:pPr>
        <w:ind w:firstLine="398"/>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1"/>
          <w:sz w:val="24"/>
          <w:highlight w:val="none"/>
        </w:rPr>
        <w:t xml:space="preserve">注：供应商应当按实填写所有与之有控股、管理关系的情况</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576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单位名称（盖章）：</w:t>
      </w:r>
      <w:r/>
    </w:p>
    <w:p>
      <w:pPr>
        <w:ind w:firstLine="576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（全文完）</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sans-serif">
    <w:panose1 w:val="020B050302020202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eastAsia="楷体_GB2312"/>
        <w:sz w:val="18"/>
        <w:lang w:val="zh-CN"/>
      </w:rPr>
    </w:pPr>
    <w:r>
      <w:rPr>
        <w:rFonts w:eastAsia="楷体_GB2312"/>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1</w:t>
                          </w:r>
                          <w:r>
                            <w:rPr>
                              <w:rFonts w:hint="eastAsia" w:eastAsia="楷体_GB2312"/>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1</w:t>
                    </w:r>
                    <w:r>
                      <w:rPr>
                        <w:rFonts w:hint="eastAsia" w:eastAsia="楷体_GB2312"/>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46</w:t>
    </w:r>
    <w:r>
      <w:fldChar w:fldCharType="end"/>
    </w:r>
    <w:r/>
  </w:p>
  <w:p>
    <w:pPr>
      <w:pStyle w:val="884"/>
      <w:jc w:val="center"/>
    </w:pPr>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2" w:default="1">
    <w:name w:val="Normal"/>
    <w:next w:val="674"/>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663">
    <w:name w:val="Heading 1"/>
    <w:basedOn w:val="662"/>
    <w:next w:val="662"/>
    <w:link w:val="724"/>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25"/>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26"/>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27"/>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28"/>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29"/>
    <w:uiPriority w:val="9"/>
    <w:unhideWhenUsed/>
    <w:qFormat/>
    <w:pPr>
      <w:keepLines/>
      <w:keepNext/>
      <w:spacing w:before="320" w:after="200"/>
      <w:outlineLvl w:val="5"/>
    </w:pPr>
    <w:rPr>
      <w:rFonts w:ascii="Arial" w:hAnsi="Arial" w:eastAsia="Arial" w:cs="Arial"/>
      <w:b/>
      <w:bCs/>
      <w:sz w:val="22"/>
    </w:rPr>
  </w:style>
  <w:style w:type="paragraph" w:styleId="669">
    <w:name w:val="Heading 7"/>
    <w:basedOn w:val="662"/>
    <w:next w:val="662"/>
    <w:link w:val="730"/>
    <w:uiPriority w:val="9"/>
    <w:unhideWhenUsed/>
    <w:qFormat/>
    <w:pPr>
      <w:keepLines/>
      <w:keepNext/>
      <w:spacing w:before="320" w:after="200"/>
      <w:outlineLvl w:val="6"/>
    </w:pPr>
    <w:rPr>
      <w:rFonts w:ascii="Arial" w:hAnsi="Arial" w:eastAsia="Arial" w:cs="Arial"/>
      <w:b/>
      <w:bCs/>
      <w:i/>
      <w:iCs/>
      <w:sz w:val="22"/>
    </w:rPr>
  </w:style>
  <w:style w:type="paragraph" w:styleId="670">
    <w:name w:val="Heading 8"/>
    <w:basedOn w:val="662"/>
    <w:next w:val="662"/>
    <w:link w:val="731"/>
    <w:uiPriority w:val="9"/>
    <w:unhideWhenUsed/>
    <w:qFormat/>
    <w:pPr>
      <w:keepLines/>
      <w:keepNext/>
      <w:spacing w:before="320" w:after="200"/>
      <w:outlineLvl w:val="7"/>
    </w:pPr>
    <w:rPr>
      <w:rFonts w:ascii="Arial" w:hAnsi="Arial" w:eastAsia="Arial" w:cs="Arial"/>
      <w:i/>
      <w:iCs/>
      <w:sz w:val="22"/>
    </w:rPr>
  </w:style>
  <w:style w:type="paragraph" w:styleId="671">
    <w:name w:val="Heading 9"/>
    <w:basedOn w:val="662"/>
    <w:next w:val="662"/>
    <w:link w:val="732"/>
    <w:uiPriority w:val="9"/>
    <w:unhideWhenUsed/>
    <w:qFormat/>
    <w:pPr>
      <w:keepLines/>
      <w:keepNext/>
      <w:spacing w:before="320" w:after="200"/>
      <w:outlineLvl w:val="8"/>
    </w:pPr>
    <w:rPr>
      <w:rFonts w:ascii="Arial" w:hAnsi="Arial" w:eastAsia="Arial" w:cs="Arial"/>
      <w:i/>
      <w:iCs/>
      <w:szCs w:val="21"/>
    </w:rPr>
  </w:style>
  <w:style w:type="character" w:styleId="672" w:default="1">
    <w:name w:val="Default Paragraph Font"/>
    <w:uiPriority w:val="1"/>
    <w:semiHidden/>
    <w:unhideWhenUsed/>
  </w:style>
  <w:style w:type="table" w:styleId="673" w:default="1">
    <w:name w:val="Normal Table"/>
    <w:uiPriority w:val="99"/>
    <w:semiHidden/>
    <w:unhideWhenUsed/>
    <w:tblPr>
      <w:tblLayout w:type="fixed"/>
      <w:tblCellMar>
        <w:left w:w="108" w:type="dxa"/>
        <w:top w:w="0" w:type="dxa"/>
        <w:right w:w="108" w:type="dxa"/>
        <w:bottom w:w="0" w:type="dxa"/>
      </w:tblCellMar>
    </w:tblPr>
  </w:style>
  <w:style w:type="paragraph" w:styleId="674">
    <w:name w:val="Body Text"/>
    <w:basedOn w:val="662"/>
    <w:next w:val="675"/>
    <w:uiPriority w:val="0"/>
    <w:qFormat/>
    <w:pPr>
      <w:spacing w:line="400" w:lineRule="exact"/>
    </w:pPr>
    <w:rPr>
      <w:rFonts w:ascii="楷体_GB2312" w:eastAsia="楷体_GB2312"/>
      <w:sz w:val="28"/>
      <w:szCs w:val="20"/>
    </w:rPr>
  </w:style>
  <w:style w:type="paragraph" w:styleId="675">
    <w:name w:val="Normal Indent"/>
    <w:basedOn w:val="662"/>
    <w:next w:val="662"/>
    <w:uiPriority w:val="0"/>
    <w:qFormat/>
    <w:pPr>
      <w:ind w:firstLine="420"/>
      <w:jc w:val="left"/>
    </w:pPr>
    <w:rPr>
      <w:rFonts w:eastAsia="楷体_GB2312"/>
      <w:sz w:val="24"/>
      <w:szCs w:val="20"/>
    </w:rPr>
  </w:style>
  <w:style w:type="paragraph" w:styleId="676">
    <w:name w:val="toc 7"/>
    <w:basedOn w:val="662"/>
    <w:next w:val="662"/>
    <w:uiPriority w:val="39"/>
    <w:unhideWhenUsed/>
    <w:qFormat/>
    <w:pPr>
      <w:ind w:left="1701"/>
      <w:spacing w:after="57"/>
    </w:pPr>
  </w:style>
  <w:style w:type="paragraph" w:styleId="677">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Body Text Indent"/>
    <w:basedOn w:val="662"/>
    <w:next w:val="662"/>
    <w:uiPriority w:val="0"/>
    <w:qFormat/>
    <w:pPr>
      <w:ind w:left="570"/>
      <w:spacing w:line="520" w:lineRule="exact"/>
    </w:pPr>
    <w:rPr>
      <w:rFonts w:ascii="方正仿宋简体" w:hAnsi="创艺简仿宋" w:eastAsia="方正仿宋简体"/>
      <w:sz w:val="24"/>
    </w:rPr>
  </w:style>
  <w:style w:type="paragraph" w:styleId="679">
    <w:name w:val="Block Text"/>
    <w:basedOn w:val="662"/>
    <w:uiPriority w:val="0"/>
    <w:qFormat/>
    <w:pPr>
      <w:ind w:left="420" w:right="33" w:firstLine="2560"/>
      <w:spacing w:after="0" w:line="240" w:lineRule="auto"/>
    </w:pPr>
  </w:style>
  <w:style w:type="paragraph" w:styleId="680">
    <w:name w:val="toc 5"/>
    <w:basedOn w:val="662"/>
    <w:next w:val="662"/>
    <w:uiPriority w:val="39"/>
    <w:unhideWhenUsed/>
    <w:qFormat/>
    <w:pPr>
      <w:ind w:left="1134"/>
      <w:spacing w:after="57"/>
    </w:pPr>
  </w:style>
  <w:style w:type="paragraph" w:styleId="681">
    <w:name w:val="toc 3"/>
    <w:basedOn w:val="662"/>
    <w:next w:val="662"/>
    <w:uiPriority w:val="39"/>
    <w:unhideWhenUsed/>
    <w:qFormat/>
    <w:pPr>
      <w:ind w:left="567"/>
      <w:spacing w:after="57"/>
    </w:pPr>
  </w:style>
  <w:style w:type="paragraph" w:styleId="682">
    <w:name w:val="Plain Text"/>
    <w:basedOn w:val="662"/>
    <w:uiPriority w:val="0"/>
    <w:qFormat/>
    <w:pPr>
      <w:jc w:val="left"/>
      <w:widowControl/>
    </w:pPr>
    <w:rPr>
      <w:rFonts w:ascii="宋体" w:hAnsi="Courier New"/>
      <w:szCs w:val="21"/>
    </w:rPr>
  </w:style>
  <w:style w:type="paragraph" w:styleId="683">
    <w:name w:val="toc 8"/>
    <w:basedOn w:val="662"/>
    <w:next w:val="662"/>
    <w:uiPriority w:val="39"/>
    <w:unhideWhenUsed/>
    <w:qFormat/>
    <w:pPr>
      <w:ind w:left="1984"/>
      <w:spacing w:after="57"/>
    </w:pPr>
  </w:style>
  <w:style w:type="paragraph" w:styleId="684">
    <w:name w:val="endnote text"/>
    <w:basedOn w:val="662"/>
    <w:link w:val="870"/>
    <w:uiPriority w:val="99"/>
    <w:semiHidden/>
    <w:unhideWhenUsed/>
    <w:qFormat/>
    <w:rPr>
      <w:sz w:val="20"/>
    </w:rPr>
  </w:style>
  <w:style w:type="paragraph" w:styleId="685">
    <w:name w:val="Footer"/>
    <w:basedOn w:val="662"/>
    <w:link w:val="743"/>
    <w:uiPriority w:val="99"/>
    <w:unhideWhenUsed/>
    <w:qFormat/>
    <w:pPr>
      <w:tabs>
        <w:tab w:val="center" w:pos="7143" w:leader="none"/>
        <w:tab w:val="right" w:pos="14287" w:leader="none"/>
      </w:tabs>
    </w:pPr>
  </w:style>
  <w:style w:type="paragraph" w:styleId="686">
    <w:name w:val="Body Text First Indent 2"/>
    <w:basedOn w:val="678"/>
    <w:uiPriority w:val="99"/>
    <w:unhideWhenUsed/>
    <w:qFormat/>
    <w:pPr>
      <w:ind w:left="420" w:firstLine="420"/>
      <w:spacing w:after="120"/>
    </w:pPr>
    <w:rPr>
      <w:rFonts w:ascii="Calibri" w:hAnsi="Calibri" w:eastAsia="宋体"/>
      <w:sz w:val="21"/>
    </w:rPr>
  </w:style>
  <w:style w:type="paragraph" w:styleId="687">
    <w:name w:val="Header"/>
    <w:basedOn w:val="662"/>
    <w:link w:val="741"/>
    <w:uiPriority w:val="99"/>
    <w:unhideWhenUsed/>
    <w:qFormat/>
    <w:pPr>
      <w:tabs>
        <w:tab w:val="center" w:pos="7143" w:leader="none"/>
        <w:tab w:val="right" w:pos="14287" w:leader="none"/>
      </w:tabs>
    </w:pPr>
  </w:style>
  <w:style w:type="paragraph" w:styleId="688">
    <w:name w:val="toc 1"/>
    <w:basedOn w:val="662"/>
    <w:next w:val="662"/>
    <w:uiPriority w:val="39"/>
    <w:unhideWhenUsed/>
    <w:qFormat/>
    <w:pPr>
      <w:spacing w:after="57"/>
    </w:pPr>
  </w:style>
  <w:style w:type="paragraph" w:styleId="689">
    <w:name w:val="toc 4"/>
    <w:basedOn w:val="662"/>
    <w:next w:val="662"/>
    <w:uiPriority w:val="39"/>
    <w:unhideWhenUsed/>
    <w:qFormat/>
    <w:pPr>
      <w:ind w:left="850"/>
      <w:spacing w:after="57"/>
    </w:pPr>
  </w:style>
  <w:style w:type="paragraph" w:styleId="690">
    <w:name w:val="Subtitle"/>
    <w:basedOn w:val="662"/>
    <w:next w:val="662"/>
    <w:link w:val="736"/>
    <w:uiPriority w:val="11"/>
    <w:qFormat/>
    <w:pPr>
      <w:spacing w:before="200" w:after="200"/>
    </w:pPr>
    <w:rPr>
      <w:sz w:val="24"/>
      <w:szCs w:val="24"/>
    </w:rPr>
  </w:style>
  <w:style w:type="paragraph" w:styleId="691">
    <w:name w:val="footnote text"/>
    <w:basedOn w:val="662"/>
    <w:link w:val="869"/>
    <w:uiPriority w:val="99"/>
    <w:semiHidden/>
    <w:unhideWhenUsed/>
    <w:qFormat/>
    <w:pPr>
      <w:spacing w:after="40"/>
    </w:pPr>
    <w:rPr>
      <w:sz w:val="18"/>
    </w:rPr>
  </w:style>
  <w:style w:type="paragraph" w:styleId="692">
    <w:name w:val="toc 6"/>
    <w:basedOn w:val="662"/>
    <w:next w:val="662"/>
    <w:uiPriority w:val="39"/>
    <w:unhideWhenUsed/>
    <w:qFormat/>
    <w:pPr>
      <w:ind w:left="1417"/>
      <w:spacing w:after="57"/>
    </w:pPr>
  </w:style>
  <w:style w:type="paragraph" w:styleId="693">
    <w:name w:val="table of figures"/>
    <w:basedOn w:val="662"/>
    <w:next w:val="662"/>
    <w:uiPriority w:val="99"/>
    <w:unhideWhenUsed/>
    <w:qFormat/>
  </w:style>
  <w:style w:type="paragraph" w:styleId="694">
    <w:name w:val="toc 2"/>
    <w:basedOn w:val="662"/>
    <w:next w:val="662"/>
    <w:uiPriority w:val="39"/>
    <w:unhideWhenUsed/>
    <w:qFormat/>
    <w:pPr>
      <w:ind w:left="283"/>
      <w:spacing w:after="57"/>
    </w:pPr>
  </w:style>
  <w:style w:type="paragraph" w:styleId="695">
    <w:name w:val="toc 9"/>
    <w:basedOn w:val="662"/>
    <w:next w:val="662"/>
    <w:uiPriority w:val="39"/>
    <w:unhideWhenUsed/>
    <w:qFormat/>
    <w:pPr>
      <w:ind w:left="2268"/>
      <w:spacing w:after="57"/>
    </w:pPr>
  </w:style>
  <w:style w:type="paragraph" w:styleId="696">
    <w:name w:val="Normal (Web)"/>
    <w:basedOn w:val="662"/>
    <w:uiPriority w:val="99"/>
    <w:semiHidden/>
    <w:unhideWhenUsed/>
    <w:qFormat/>
    <w:rPr>
      <w:sz w:val="24"/>
    </w:rPr>
  </w:style>
  <w:style w:type="paragraph" w:styleId="697">
    <w:name w:val="Title"/>
    <w:basedOn w:val="662"/>
    <w:next w:val="662"/>
    <w:link w:val="735"/>
    <w:uiPriority w:val="10"/>
    <w:qFormat/>
    <w:pPr>
      <w:contextualSpacing/>
      <w:spacing w:before="300" w:after="200"/>
    </w:pPr>
    <w:rPr>
      <w:sz w:val="48"/>
      <w:szCs w:val="48"/>
    </w:rPr>
  </w:style>
  <w:style w:type="character" w:styleId="698">
    <w:name w:val="Strong"/>
    <w:basedOn w:val="672"/>
    <w:uiPriority w:val="22"/>
    <w:qFormat/>
    <w:rPr>
      <w:b/>
    </w:rPr>
  </w:style>
  <w:style w:type="character" w:styleId="699">
    <w:name w:val="endnote reference"/>
    <w:uiPriority w:val="99"/>
    <w:semiHidden/>
    <w:unhideWhenUsed/>
    <w:qFormat/>
    <w:rPr>
      <w:vertAlign w:val="superscript"/>
    </w:rPr>
  </w:style>
  <w:style w:type="character" w:styleId="700">
    <w:name w:val="FollowedHyperlink"/>
    <w:basedOn w:val="672"/>
    <w:uiPriority w:val="99"/>
    <w:semiHidden/>
    <w:unhideWhenUsed/>
    <w:qFormat/>
    <w:rPr>
      <w:color w:val="333333"/>
      <w:u w:val="none"/>
    </w:rPr>
  </w:style>
  <w:style w:type="character" w:styleId="701">
    <w:name w:val="Emphasis"/>
    <w:basedOn w:val="672"/>
    <w:uiPriority w:val="20"/>
    <w:qFormat/>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footnote reference"/>
    <w:uiPriority w:val="99"/>
    <w:unhideWhenUsed/>
    <w:qFormat/>
    <w:rPr>
      <w:vertAlign w:val="superscript"/>
    </w:rPr>
  </w:style>
  <w:style w:type="table" w:styleId="7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05" w:customStyle="1">
    <w:name w:val="Heading 1 Char"/>
    <w:basedOn w:val="672"/>
    <w:uiPriority w:val="9"/>
    <w:qFormat/>
    <w:rPr>
      <w:rFonts w:ascii="Arial" w:hAnsi="Arial" w:eastAsia="Arial" w:cs="Arial"/>
      <w:sz w:val="40"/>
      <w:szCs w:val="40"/>
    </w:rPr>
  </w:style>
  <w:style w:type="character" w:styleId="706" w:customStyle="1">
    <w:name w:val="Heading 2 Char"/>
    <w:basedOn w:val="672"/>
    <w:uiPriority w:val="9"/>
    <w:qFormat/>
    <w:rPr>
      <w:rFonts w:ascii="Arial" w:hAnsi="Arial" w:eastAsia="Arial" w:cs="Arial"/>
      <w:sz w:val="34"/>
    </w:rPr>
  </w:style>
  <w:style w:type="character" w:styleId="707" w:customStyle="1">
    <w:name w:val="Heading 3 Char"/>
    <w:basedOn w:val="672"/>
    <w:uiPriority w:val="9"/>
    <w:qFormat/>
    <w:rPr>
      <w:rFonts w:ascii="Arial" w:hAnsi="Arial" w:eastAsia="Arial" w:cs="Arial"/>
      <w:sz w:val="30"/>
      <w:szCs w:val="30"/>
    </w:rPr>
  </w:style>
  <w:style w:type="character" w:styleId="708" w:customStyle="1">
    <w:name w:val="Heading 4 Char"/>
    <w:basedOn w:val="672"/>
    <w:uiPriority w:val="9"/>
    <w:qFormat/>
    <w:rPr>
      <w:rFonts w:ascii="Arial" w:hAnsi="Arial" w:eastAsia="Arial" w:cs="Arial"/>
      <w:b/>
      <w:bCs/>
      <w:sz w:val="26"/>
      <w:szCs w:val="26"/>
    </w:rPr>
  </w:style>
  <w:style w:type="character" w:styleId="709" w:customStyle="1">
    <w:name w:val="Heading 5 Char"/>
    <w:basedOn w:val="672"/>
    <w:uiPriority w:val="9"/>
    <w:qFormat/>
    <w:rPr>
      <w:rFonts w:ascii="Arial" w:hAnsi="Arial" w:eastAsia="Arial" w:cs="Arial"/>
      <w:b/>
      <w:bCs/>
      <w:sz w:val="24"/>
      <w:szCs w:val="24"/>
    </w:rPr>
  </w:style>
  <w:style w:type="character" w:styleId="710" w:customStyle="1">
    <w:name w:val="Heading 6 Char"/>
    <w:basedOn w:val="672"/>
    <w:uiPriority w:val="9"/>
    <w:qFormat/>
    <w:rPr>
      <w:rFonts w:ascii="Arial" w:hAnsi="Arial" w:eastAsia="Arial" w:cs="Arial"/>
      <w:b/>
      <w:bCs/>
      <w:sz w:val="22"/>
      <w:szCs w:val="22"/>
    </w:rPr>
  </w:style>
  <w:style w:type="character" w:styleId="711" w:customStyle="1">
    <w:name w:val="Heading 7 Char"/>
    <w:basedOn w:val="672"/>
    <w:uiPriority w:val="9"/>
    <w:qFormat/>
    <w:rPr>
      <w:rFonts w:ascii="Arial" w:hAnsi="Arial" w:eastAsia="Arial" w:cs="Arial"/>
      <w:b/>
      <w:bCs/>
      <w:i/>
      <w:iCs/>
      <w:sz w:val="22"/>
      <w:szCs w:val="22"/>
    </w:rPr>
  </w:style>
  <w:style w:type="character" w:styleId="712" w:customStyle="1">
    <w:name w:val="Heading 8 Char"/>
    <w:basedOn w:val="672"/>
    <w:uiPriority w:val="9"/>
    <w:qFormat/>
    <w:rPr>
      <w:rFonts w:ascii="Arial" w:hAnsi="Arial" w:eastAsia="Arial" w:cs="Arial"/>
      <w:i/>
      <w:iCs/>
      <w:sz w:val="22"/>
      <w:szCs w:val="22"/>
    </w:rPr>
  </w:style>
  <w:style w:type="character" w:styleId="713" w:customStyle="1">
    <w:name w:val="Heading 9 Char"/>
    <w:basedOn w:val="672"/>
    <w:uiPriority w:val="9"/>
    <w:qFormat/>
    <w:rPr>
      <w:rFonts w:ascii="Arial" w:hAnsi="Arial" w:eastAsia="Arial" w:cs="Arial"/>
      <w:i/>
      <w:iCs/>
      <w:sz w:val="21"/>
      <w:szCs w:val="21"/>
    </w:rPr>
  </w:style>
  <w:style w:type="character" w:styleId="714" w:customStyle="1">
    <w:name w:val="Title Char"/>
    <w:basedOn w:val="672"/>
    <w:uiPriority w:val="10"/>
    <w:qFormat/>
    <w:rPr>
      <w:sz w:val="48"/>
      <w:szCs w:val="48"/>
    </w:rPr>
  </w:style>
  <w:style w:type="character" w:styleId="715" w:customStyle="1">
    <w:name w:val="Subtitle Char"/>
    <w:basedOn w:val="672"/>
    <w:uiPriority w:val="11"/>
    <w:qFormat/>
    <w:rPr>
      <w:sz w:val="24"/>
      <w:szCs w:val="24"/>
    </w:rPr>
  </w:style>
  <w:style w:type="character" w:styleId="716" w:customStyle="1">
    <w:name w:val="Quote Char"/>
    <w:uiPriority w:val="29"/>
    <w:qFormat/>
    <w:rPr>
      <w:i/>
    </w:rPr>
  </w:style>
  <w:style w:type="character" w:styleId="717" w:customStyle="1">
    <w:name w:val="Intense Quote Char"/>
    <w:uiPriority w:val="30"/>
    <w:qFormat/>
    <w:rPr>
      <w:i/>
    </w:rPr>
  </w:style>
  <w:style w:type="character" w:styleId="718" w:customStyle="1">
    <w:name w:val="Header Char"/>
    <w:basedOn w:val="672"/>
    <w:uiPriority w:val="99"/>
    <w:qFormat/>
  </w:style>
  <w:style w:type="character" w:styleId="719" w:customStyle="1">
    <w:name w:val="Caption Char"/>
    <w:uiPriority w:val="99"/>
    <w:qFormat/>
  </w:style>
  <w:style w:type="character" w:styleId="720" w:customStyle="1">
    <w:name w:val="Footnote Text Char"/>
    <w:uiPriority w:val="99"/>
    <w:qFormat/>
    <w:rPr>
      <w:sz w:val="18"/>
    </w:rPr>
  </w:style>
  <w:style w:type="character" w:styleId="721" w:customStyle="1">
    <w:name w:val="Endnote Text Char"/>
    <w:uiPriority w:val="99"/>
    <w:qFormat/>
    <w:rPr>
      <w:sz w:val="20"/>
    </w:rPr>
  </w:style>
  <w:style w:type="paragraph" w:styleId="722" w:customStyle="1">
    <w:name w:val="TOC 标题1"/>
    <w:uiPriority w:val="39"/>
    <w:unhideWhenUsed/>
    <w:qFormat/>
    <w:pPr>
      <w:spacing w:after="160" w:line="278" w:lineRule="auto"/>
    </w:pPr>
    <w:rPr>
      <w:rFonts w:ascii="Calibri" w:hAnsi="Calibri" w:eastAsia="宋体" w:cs="Times New Roman"/>
      <w:lang w:val="en-US" w:eastAsia="zh-CN" w:bidi="ar-SA"/>
    </w:rPr>
  </w:style>
  <w:style w:type="paragraph" w:styleId="723" w:customStyle="1">
    <w:name w:val="文档结构图1"/>
    <w:basedOn w:val="662"/>
    <w:next w:val="662"/>
    <w:uiPriority w:val="0"/>
    <w:qFormat/>
    <w:rPr>
      <w:rFonts w:ascii="Calibri" w:hAnsi="Calibri" w:cs="Calibri"/>
      <w:color w:val="000000"/>
      <w:szCs w:val="21"/>
    </w:rPr>
  </w:style>
  <w:style w:type="character" w:styleId="724" w:customStyle="1">
    <w:name w:val="标题 1 字符"/>
    <w:link w:val="663"/>
    <w:uiPriority w:val="9"/>
    <w:qFormat/>
    <w:rPr>
      <w:rFonts w:ascii="Arial" w:hAnsi="Arial" w:eastAsia="Arial" w:cs="Arial"/>
      <w:sz w:val="40"/>
      <w:szCs w:val="40"/>
    </w:rPr>
  </w:style>
  <w:style w:type="character" w:styleId="725" w:customStyle="1">
    <w:name w:val="标题 2 字符"/>
    <w:link w:val="664"/>
    <w:uiPriority w:val="9"/>
    <w:qFormat/>
    <w:rPr>
      <w:rFonts w:ascii="Arial" w:hAnsi="Arial" w:eastAsia="Arial" w:cs="Arial"/>
      <w:sz w:val="34"/>
    </w:rPr>
  </w:style>
  <w:style w:type="character" w:styleId="726" w:customStyle="1">
    <w:name w:val="标题 3 字符"/>
    <w:link w:val="665"/>
    <w:uiPriority w:val="9"/>
    <w:qFormat/>
    <w:rPr>
      <w:rFonts w:ascii="Arial" w:hAnsi="Arial" w:eastAsia="Arial" w:cs="Arial"/>
      <w:sz w:val="30"/>
      <w:szCs w:val="30"/>
    </w:rPr>
  </w:style>
  <w:style w:type="character" w:styleId="727" w:customStyle="1">
    <w:name w:val="标题 4 字符"/>
    <w:link w:val="666"/>
    <w:uiPriority w:val="9"/>
    <w:qFormat/>
    <w:rPr>
      <w:rFonts w:ascii="Arial" w:hAnsi="Arial" w:eastAsia="Arial" w:cs="Arial"/>
      <w:b/>
      <w:bCs/>
      <w:sz w:val="26"/>
      <w:szCs w:val="26"/>
    </w:rPr>
  </w:style>
  <w:style w:type="character" w:styleId="728" w:customStyle="1">
    <w:name w:val="标题 5 字符"/>
    <w:link w:val="667"/>
    <w:uiPriority w:val="9"/>
    <w:qFormat/>
    <w:rPr>
      <w:rFonts w:ascii="Arial" w:hAnsi="Arial" w:eastAsia="Arial" w:cs="Arial"/>
      <w:b/>
      <w:bCs/>
      <w:sz w:val="24"/>
      <w:szCs w:val="24"/>
    </w:rPr>
  </w:style>
  <w:style w:type="character" w:styleId="729" w:customStyle="1">
    <w:name w:val="标题 6 字符"/>
    <w:link w:val="668"/>
    <w:uiPriority w:val="9"/>
    <w:qFormat/>
    <w:rPr>
      <w:rFonts w:ascii="Arial" w:hAnsi="Arial" w:eastAsia="Arial" w:cs="Arial"/>
      <w:b/>
      <w:bCs/>
      <w:sz w:val="22"/>
      <w:szCs w:val="22"/>
    </w:rPr>
  </w:style>
  <w:style w:type="character" w:styleId="730" w:customStyle="1">
    <w:name w:val="标题 7 字符"/>
    <w:link w:val="669"/>
    <w:uiPriority w:val="9"/>
    <w:qFormat/>
    <w:rPr>
      <w:rFonts w:ascii="Arial" w:hAnsi="Arial" w:eastAsia="Arial" w:cs="Arial"/>
      <w:b/>
      <w:bCs/>
      <w:i/>
      <w:iCs/>
      <w:sz w:val="22"/>
      <w:szCs w:val="22"/>
    </w:rPr>
  </w:style>
  <w:style w:type="character" w:styleId="731" w:customStyle="1">
    <w:name w:val="标题 8 字符"/>
    <w:link w:val="670"/>
    <w:uiPriority w:val="9"/>
    <w:qFormat/>
    <w:rPr>
      <w:rFonts w:ascii="Arial" w:hAnsi="Arial" w:eastAsia="Arial" w:cs="Arial"/>
      <w:i/>
      <w:iCs/>
      <w:sz w:val="22"/>
      <w:szCs w:val="22"/>
    </w:rPr>
  </w:style>
  <w:style w:type="character" w:styleId="732" w:customStyle="1">
    <w:name w:val="标题 9 字符"/>
    <w:link w:val="671"/>
    <w:uiPriority w:val="9"/>
    <w:qFormat/>
    <w:rPr>
      <w:rFonts w:ascii="Arial" w:hAnsi="Arial" w:eastAsia="Arial" w:cs="Arial"/>
      <w:i/>
      <w:iCs/>
      <w:sz w:val="21"/>
      <w:szCs w:val="21"/>
    </w:rPr>
  </w:style>
  <w:style w:type="paragraph" w:styleId="733">
    <w:name w:val="List Paragraph"/>
    <w:basedOn w:val="662"/>
    <w:uiPriority w:val="34"/>
    <w:qFormat/>
    <w:pPr>
      <w:contextualSpacing/>
      <w:ind w:left="720"/>
    </w:pPr>
  </w:style>
  <w:style w:type="paragraph" w:styleId="734">
    <w:name w:val="No Spacing"/>
    <w:uiPriority w:val="1"/>
    <w:qFormat/>
    <w:pPr>
      <w:spacing w:after="160" w:line="278" w:lineRule="auto"/>
    </w:pPr>
    <w:rPr>
      <w:rFonts w:ascii="Times New Roman" w:hAnsi="Times New Roman" w:eastAsia="宋体" w:cs="Times New Roman"/>
      <w:lang w:val="en-US" w:eastAsia="zh-CN" w:bidi="ar-SA"/>
    </w:rPr>
  </w:style>
  <w:style w:type="character" w:styleId="735" w:customStyle="1">
    <w:name w:val="标题 字符"/>
    <w:link w:val="697"/>
    <w:uiPriority w:val="10"/>
    <w:qFormat/>
    <w:rPr>
      <w:sz w:val="48"/>
      <w:szCs w:val="48"/>
    </w:rPr>
  </w:style>
  <w:style w:type="character" w:styleId="736" w:customStyle="1">
    <w:name w:val="副标题 字符"/>
    <w:link w:val="690"/>
    <w:uiPriority w:val="11"/>
    <w:qFormat/>
    <w:rPr>
      <w:sz w:val="24"/>
      <w:szCs w:val="24"/>
    </w:rPr>
  </w:style>
  <w:style w:type="paragraph" w:styleId="737">
    <w:name w:val="Quote"/>
    <w:basedOn w:val="662"/>
    <w:next w:val="662"/>
    <w:link w:val="738"/>
    <w:uiPriority w:val="29"/>
    <w:qFormat/>
    <w:pPr>
      <w:ind w:left="720" w:right="720"/>
    </w:pPr>
    <w:rPr>
      <w:i/>
    </w:rPr>
  </w:style>
  <w:style w:type="character" w:styleId="738" w:customStyle="1">
    <w:name w:val="引用 字符"/>
    <w:link w:val="737"/>
    <w:uiPriority w:val="29"/>
    <w:qFormat/>
    <w:rPr>
      <w:i/>
    </w:rPr>
  </w:style>
  <w:style w:type="paragraph" w:styleId="739">
    <w:name w:val="Intense Quote"/>
    <w:basedOn w:val="662"/>
    <w:next w:val="662"/>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字符"/>
    <w:link w:val="739"/>
    <w:uiPriority w:val="30"/>
    <w:qFormat/>
    <w:rPr>
      <w:i/>
    </w:rPr>
  </w:style>
  <w:style w:type="character" w:styleId="741" w:customStyle="1">
    <w:name w:val="页眉 字符"/>
    <w:link w:val="687"/>
    <w:uiPriority w:val="99"/>
    <w:qFormat/>
  </w:style>
  <w:style w:type="character" w:styleId="742" w:customStyle="1">
    <w:name w:val="Footer Char"/>
    <w:uiPriority w:val="99"/>
    <w:qFormat/>
  </w:style>
  <w:style w:type="character" w:styleId="743" w:customStyle="1">
    <w:name w:val="页脚 字符"/>
    <w:link w:val="685"/>
    <w:uiPriority w:val="99"/>
    <w:qFormat/>
  </w:style>
  <w:style w:type="table" w:styleId="7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4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脚注文本 字符"/>
    <w:link w:val="691"/>
    <w:uiPriority w:val="99"/>
    <w:qFormat/>
    <w:rPr>
      <w:sz w:val="18"/>
    </w:rPr>
  </w:style>
  <w:style w:type="character" w:styleId="870" w:customStyle="1">
    <w:name w:val="尾注文本 字符"/>
    <w:link w:val="684"/>
    <w:uiPriority w:val="99"/>
    <w:qFormat/>
    <w:rPr>
      <w:sz w:val="20"/>
    </w:rPr>
  </w:style>
  <w:style w:type="paragraph" w:styleId="871"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character" w:styleId="872" w:customStyle="1">
    <w:name w:val="默认段落字体1"/>
    <w:uiPriority w:val="1"/>
    <w:unhideWhenUsed/>
    <w:qFormat/>
  </w:style>
  <w:style w:type="table" w:styleId="873" w:customStyle="1">
    <w:name w:val="普通表格1"/>
    <w:uiPriority w:val="99"/>
    <w:unhideWhenUsed/>
    <w:qFormat/>
    <w:tblPr>
      <w:tblLayout w:type="fixed"/>
      <w:tblCellMar>
        <w:left w:w="0" w:type="dxa"/>
        <w:top w:w="0" w:type="dxa"/>
        <w:right w:w="0" w:type="dxa"/>
        <w:bottom w:w="0" w:type="dxa"/>
      </w:tblCellMar>
    </w:tblPr>
  </w:style>
  <w:style w:type="paragraph" w:styleId="874" w:customStyle="1">
    <w:name w:val="正文缩进11"/>
    <w:basedOn w:val="662"/>
    <w:next w:val="662"/>
    <w:uiPriority w:val="0"/>
    <w:qFormat/>
    <w:pPr>
      <w:ind w:firstLine="420"/>
      <w:jc w:val="left"/>
    </w:pPr>
    <w:rPr>
      <w:rFonts w:eastAsia="楷体_GB2312"/>
      <w:sz w:val="24"/>
      <w:szCs w:val="20"/>
    </w:rPr>
  </w:style>
  <w:style w:type="paragraph" w:styleId="875" w:customStyle="1">
    <w:name w:val="正文文本1"/>
    <w:basedOn w:val="662"/>
    <w:link w:val="876"/>
    <w:uiPriority w:val="99"/>
    <w:unhideWhenUsed/>
    <w:qFormat/>
    <w:pPr>
      <w:spacing w:after="120"/>
    </w:pPr>
    <w:rPr>
      <w:szCs w:val="24"/>
    </w:rPr>
  </w:style>
  <w:style w:type="character" w:styleId="876" w:customStyle="1">
    <w:name w:val="正文文本 Char"/>
    <w:basedOn w:val="872"/>
    <w:link w:val="875"/>
    <w:uiPriority w:val="99"/>
    <w:qFormat/>
    <w:rPr>
      <w:rFonts w:ascii="Times New Roman" w:hAnsi="Times New Roman" w:eastAsia="宋体" w:cs="Times New Roman"/>
      <w:szCs w:val="24"/>
    </w:rPr>
  </w:style>
  <w:style w:type="paragraph" w:styleId="877" w:customStyle="1">
    <w:name w:val="正文文本缩进11"/>
    <w:basedOn w:val="662"/>
    <w:next w:val="878"/>
    <w:link w:val="879"/>
    <w:uiPriority w:val="0"/>
    <w:qFormat/>
    <w:pPr>
      <w:ind w:left="570"/>
      <w:spacing w:line="520" w:lineRule="exact"/>
    </w:pPr>
    <w:rPr>
      <w:rFonts w:ascii="方正仿宋简体" w:hAnsi="创艺简仿宋" w:eastAsia="方正仿宋简体"/>
      <w:sz w:val="24"/>
      <w:szCs w:val="20"/>
    </w:rPr>
  </w:style>
  <w:style w:type="paragraph" w:styleId="878" w:customStyle="1">
    <w:name w:val="目录 51"/>
    <w:next w:val="662"/>
    <w:uiPriority w:val="0"/>
    <w:qFormat/>
    <w:pPr>
      <w:ind w:left="1275"/>
      <w:jc w:val="both"/>
      <w:spacing w:after="160" w:line="278" w:lineRule="auto"/>
    </w:pPr>
    <w:rPr>
      <w:rFonts w:ascii="Times New Roman" w:hAnsi="Times New Roman" w:eastAsia="宋体" w:cs="Times New Roman"/>
      <w:sz w:val="21"/>
      <w:lang w:val="en-US" w:eastAsia="zh-CN" w:bidi="ar-SA"/>
    </w:rPr>
  </w:style>
  <w:style w:type="character" w:styleId="879" w:customStyle="1">
    <w:name w:val="正文文本缩进 Char"/>
    <w:basedOn w:val="872"/>
    <w:link w:val="877"/>
    <w:uiPriority w:val="0"/>
    <w:qFormat/>
    <w:rPr>
      <w:rFonts w:ascii="方正仿宋简体" w:hAnsi="创艺简仿宋" w:eastAsia="方正仿宋简体" w:cs="Times New Roman"/>
      <w:sz w:val="24"/>
      <w:szCs w:val="20"/>
    </w:rPr>
  </w:style>
  <w:style w:type="paragraph" w:styleId="880" w:customStyle="1">
    <w:name w:val="日期1"/>
    <w:basedOn w:val="662"/>
    <w:next w:val="662"/>
    <w:link w:val="881"/>
    <w:uiPriority w:val="99"/>
    <w:unhideWhenUsed/>
    <w:qFormat/>
    <w:pPr>
      <w:ind w:left="100"/>
    </w:pPr>
  </w:style>
  <w:style w:type="character" w:styleId="881" w:customStyle="1">
    <w:name w:val="日期 Char"/>
    <w:basedOn w:val="872"/>
    <w:link w:val="880"/>
    <w:uiPriority w:val="99"/>
    <w:semiHidden/>
    <w:qFormat/>
    <w:rPr>
      <w:sz w:val="21"/>
      <w:szCs w:val="22"/>
    </w:rPr>
  </w:style>
  <w:style w:type="paragraph" w:styleId="882" w:customStyle="1">
    <w:name w:val="批注框文本1"/>
    <w:basedOn w:val="662"/>
    <w:link w:val="883"/>
    <w:uiPriority w:val="99"/>
    <w:unhideWhenUsed/>
    <w:qFormat/>
    <w:rPr>
      <w:sz w:val="18"/>
      <w:szCs w:val="18"/>
    </w:rPr>
  </w:style>
  <w:style w:type="character" w:styleId="883" w:customStyle="1">
    <w:name w:val="批注框文本 Char"/>
    <w:basedOn w:val="872"/>
    <w:link w:val="882"/>
    <w:uiPriority w:val="99"/>
    <w:semiHidden/>
    <w:qFormat/>
    <w:rPr>
      <w:sz w:val="18"/>
      <w:szCs w:val="18"/>
    </w:rPr>
  </w:style>
  <w:style w:type="paragraph" w:styleId="884" w:customStyle="1">
    <w:name w:val="页脚1"/>
    <w:basedOn w:val="662"/>
    <w:link w:val="885"/>
    <w:uiPriority w:val="99"/>
    <w:qFormat/>
    <w:pPr>
      <w:jc w:val="left"/>
      <w:tabs>
        <w:tab w:val="center" w:pos="4153" w:leader="none"/>
        <w:tab w:val="right" w:pos="8306" w:leader="none"/>
      </w:tabs>
    </w:pPr>
    <w:rPr>
      <w:rFonts w:ascii="Calibri" w:hAnsi="Calibri"/>
      <w:sz w:val="18"/>
      <w:szCs w:val="18"/>
    </w:rPr>
  </w:style>
  <w:style w:type="character" w:styleId="885" w:customStyle="1">
    <w:name w:val="页脚 Char"/>
    <w:basedOn w:val="872"/>
    <w:link w:val="884"/>
    <w:uiPriority w:val="99"/>
    <w:qFormat/>
    <w:rPr>
      <w:rFonts w:ascii="Calibri" w:hAnsi="Calibri" w:eastAsia="宋体" w:cs="Times New Roman"/>
      <w:sz w:val="18"/>
      <w:szCs w:val="18"/>
    </w:rPr>
  </w:style>
  <w:style w:type="paragraph" w:styleId="886" w:customStyle="1">
    <w:name w:val="寄信人地址1"/>
    <w:basedOn w:val="662"/>
    <w:uiPriority w:val="0"/>
    <w:qFormat/>
    <w:rPr>
      <w:rFonts w:ascii="Arial" w:hAnsi="Arial" w:eastAsia="楷体_GB2312"/>
      <w:sz w:val="26"/>
      <w:szCs w:val="20"/>
    </w:rPr>
  </w:style>
  <w:style w:type="paragraph" w:styleId="887" w:customStyle="1">
    <w:name w:val="页眉1"/>
    <w:basedOn w:val="662"/>
    <w:link w:val="888"/>
    <w:uiPriority w:val="99"/>
    <w:unhideWhenUsed/>
    <w:qFormat/>
    <w:pPr>
      <w:jc w:val="center"/>
      <w:tabs>
        <w:tab w:val="center" w:pos="4153" w:leader="none"/>
        <w:tab w:val="right" w:pos="8306" w:leader="none"/>
      </w:tabs>
    </w:pPr>
    <w:rPr>
      <w:sz w:val="18"/>
      <w:szCs w:val="18"/>
    </w:rPr>
  </w:style>
  <w:style w:type="character" w:styleId="888" w:customStyle="1">
    <w:name w:val="页眉 Char"/>
    <w:basedOn w:val="872"/>
    <w:link w:val="887"/>
    <w:uiPriority w:val="99"/>
    <w:semiHidden/>
    <w:qFormat/>
    <w:rPr>
      <w:sz w:val="18"/>
      <w:szCs w:val="18"/>
    </w:rPr>
  </w:style>
  <w:style w:type="paragraph" w:styleId="889" w:customStyle="1">
    <w:name w:val="目录 11"/>
    <w:basedOn w:val="662"/>
    <w:next w:val="662"/>
    <w:uiPriority w:val="0"/>
    <w:qFormat/>
    <w:pPr>
      <w:jc w:val="left"/>
    </w:pPr>
    <w:rPr>
      <w:rFonts w:ascii="Calibri" w:hAnsi="Calibri"/>
      <w:sz w:val="24"/>
      <w:szCs w:val="24"/>
    </w:rPr>
  </w:style>
  <w:style w:type="paragraph" w:styleId="890" w:customStyle="1">
    <w:name w:val="正文文本缩进 31"/>
    <w:basedOn w:val="662"/>
    <w:link w:val="891"/>
    <w:uiPriority w:val="0"/>
    <w:qFormat/>
    <w:pPr>
      <w:ind w:firstLine="617"/>
      <w:spacing w:line="360" w:lineRule="auto"/>
    </w:pPr>
    <w:rPr>
      <w:sz w:val="24"/>
      <w:szCs w:val="24"/>
    </w:rPr>
  </w:style>
  <w:style w:type="character" w:styleId="891" w:customStyle="1">
    <w:name w:val="正文文本缩进 3 Char"/>
    <w:basedOn w:val="872"/>
    <w:link w:val="890"/>
    <w:uiPriority w:val="0"/>
    <w:qFormat/>
    <w:rPr>
      <w:rFonts w:ascii="Times New Roman" w:hAnsi="Times New Roman" w:eastAsia="宋体" w:cs="Times New Roman"/>
      <w:sz w:val="24"/>
      <w:szCs w:val="24"/>
    </w:rPr>
  </w:style>
  <w:style w:type="paragraph" w:styleId="892" w:customStyle="1">
    <w:name w:val="普通(网站)1"/>
    <w:basedOn w:val="662"/>
    <w:uiPriority w:val="99"/>
    <w:qFormat/>
    <w:pPr>
      <w:jc w:val="left"/>
      <w:spacing w:beforeAutospacing="1" w:afterAutospacing="1"/>
    </w:pPr>
    <w:rPr>
      <w:rFonts w:ascii="Calibri" w:hAnsi="Calibri"/>
      <w:sz w:val="24"/>
      <w:szCs w:val="24"/>
    </w:rPr>
  </w:style>
  <w:style w:type="paragraph" w:styleId="893" w:customStyle="1">
    <w:name w:val="正文首行缩进 211"/>
    <w:basedOn w:val="877"/>
    <w:uiPriority w:val="0"/>
    <w:qFormat/>
    <w:pPr>
      <w:ind w:left="420" w:firstLine="420"/>
      <w:spacing w:after="120" w:line="240" w:lineRule="auto"/>
    </w:pPr>
    <w:rPr>
      <w:rFonts w:ascii="Times New Roman" w:hAnsi="Times New Roman" w:eastAsia="宋体"/>
      <w:sz w:val="21"/>
      <w:szCs w:val="24"/>
    </w:rPr>
  </w:style>
  <w:style w:type="character" w:styleId="894" w:customStyle="1">
    <w:name w:val="要点1"/>
    <w:basedOn w:val="872"/>
    <w:uiPriority w:val="0"/>
    <w:qFormat/>
    <w:rPr>
      <w:rFonts w:ascii="Times New Roman" w:hAnsi="Times New Roman" w:eastAsia="宋体" w:cs="Times New Roman"/>
      <w:b/>
    </w:rPr>
  </w:style>
  <w:style w:type="character" w:styleId="895" w:customStyle="1">
    <w:name w:val="页码1"/>
    <w:basedOn w:val="872"/>
    <w:uiPriority w:val="99"/>
    <w:unhideWhenUsed/>
    <w:qFormat/>
  </w:style>
  <w:style w:type="character" w:styleId="896" w:customStyle="1">
    <w:name w:val="超链接11"/>
    <w:uiPriority w:val="99"/>
    <w:qFormat/>
    <w:rPr>
      <w:rFonts w:ascii="Times New Roman" w:hAnsi="Times New Roman" w:eastAsia="宋体" w:cs="Times New Roman"/>
      <w:color w:val="0000ff"/>
      <w:u w:val="single"/>
    </w:rPr>
  </w:style>
  <w:style w:type="character" w:styleId="897" w:customStyle="1">
    <w:name w:val="超链接1"/>
    <w:uiPriority w:val="99"/>
    <w:qFormat/>
    <w:rPr>
      <w:sz w:val="21"/>
      <w:szCs w:val="22"/>
      <w:lang w:val="en-US" w:eastAsia="zh-CN" w:bidi="ar-SA"/>
    </w:rPr>
  </w:style>
  <w:style w:type="paragraph" w:styleId="898"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899" w:customStyle="1">
    <w:name w:val="正文首行缩进 21"/>
    <w:basedOn w:val="900"/>
    <w:uiPriority w:val="0"/>
    <w:qFormat/>
    <w:pPr>
      <w:ind w:firstLine="420"/>
    </w:pPr>
    <w:rPr>
      <w:rFonts w:eastAsia="楷体_GB2312"/>
      <w:sz w:val="28"/>
    </w:rPr>
  </w:style>
  <w:style w:type="paragraph" w:styleId="900" w:customStyle="1">
    <w:name w:val="正文文本缩进1"/>
    <w:basedOn w:val="662"/>
    <w:next w:val="662"/>
    <w:uiPriority w:val="0"/>
    <w:qFormat/>
    <w:pPr>
      <w:ind w:left="570"/>
      <w:spacing w:line="520" w:lineRule="exact"/>
    </w:pPr>
    <w:rPr>
      <w:rFonts w:ascii="方正仿宋简体" w:hAnsi="创艺简仿宋" w:eastAsia="方正仿宋简体"/>
      <w:sz w:val="24"/>
      <w:szCs w:val="20"/>
    </w:rPr>
  </w:style>
  <w:style w:type="paragraph" w:styleId="901" w:customStyle="1">
    <w:name w:val="正文缩进1"/>
    <w:basedOn w:val="662"/>
    <w:next w:val="662"/>
    <w:uiPriority w:val="0"/>
    <w:qFormat/>
    <w:pPr>
      <w:ind w:firstLine="420"/>
      <w:jc w:val="left"/>
    </w:pPr>
    <w:rPr>
      <w:rFonts w:eastAsia="楷体_GB2312"/>
      <w:sz w:val="24"/>
      <w:szCs w:val="20"/>
    </w:rPr>
  </w:style>
  <w:style w:type="paragraph" w:styleId="902" w:customStyle="1">
    <w:name w:val="段"/>
    <w:next w:val="662"/>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903" w:customStyle="1">
    <w:name w:val="首行缩进"/>
    <w:basedOn w:val="662"/>
    <w:uiPriority w:val="0"/>
    <w:qFormat/>
    <w:pPr>
      <w:ind w:firstLine="480"/>
    </w:pPr>
    <w:rPr>
      <w:rFonts w:ascii="Calibri" w:hAnsi="Calibri"/>
      <w:szCs w:val="20"/>
      <w:lang w:val="zh-CN"/>
    </w:rPr>
  </w:style>
  <w:style w:type="paragraph" w:styleId="904" w:customStyle="1">
    <w:name w:val="正文 A"/>
    <w:next w:val="902"/>
    <w:uiPriority w:val="0"/>
    <w:qFormat/>
    <w:pPr>
      <w:jc w:val="both"/>
      <w:spacing w:after="160" w:line="278" w:lineRule="auto"/>
      <w:widowControl w:val="off"/>
      <w:framePr w:wrap="around" w:vAnchor="margin" w:hAnchor="text" w:yAlign="top"/>
    </w:pPr>
    <w:rPr>
      <w:rFonts w:ascii="Calibri" w:hAnsi="Calibri" w:eastAsia="Times New Roman" w:cs="Times New Roman"/>
      <w:color w:val="000000"/>
      <w:sz w:val="21"/>
      <w:szCs w:val="21"/>
      <w:lang w:val="en-US" w:eastAsia="zh-CN" w:bidi="ar-SA"/>
    </w:rPr>
  </w:style>
  <w:style w:type="paragraph" w:styleId="905" w:customStyle="1">
    <w:name w:val="纯文本111"/>
    <w:basedOn w:val="662"/>
    <w:uiPriority w:val="0"/>
    <w:qFormat/>
    <w:rPr>
      <w:rFonts w:ascii="宋体" w:hAnsi="Courier New" w:eastAsia="楷体_GB2312"/>
      <w:sz w:val="28"/>
      <w:szCs w:val="20"/>
    </w:rPr>
  </w:style>
  <w:style w:type="paragraph" w:styleId="906" w:customStyle="1">
    <w:name w:val="Plain Text1"/>
    <w:basedOn w:val="662"/>
    <w:uiPriority w:val="0"/>
    <w:qFormat/>
    <w:rPr>
      <w:rFonts w:ascii="宋体" w:hAnsi="Courier New"/>
      <w:sz w:val="26"/>
      <w:szCs w:val="20"/>
    </w:rPr>
  </w:style>
  <w:style w:type="paragraph" w:styleId="907" w:customStyle="1">
    <w:name w:val="列出段落1"/>
    <w:basedOn w:val="662"/>
    <w:uiPriority w:val="0"/>
    <w:qFormat/>
    <w:pPr>
      <w:ind w:firstLine="420"/>
    </w:pPr>
    <w:rPr>
      <w:rFonts w:ascii="Calibri" w:hAnsi="Calibri"/>
    </w:rPr>
  </w:style>
  <w:style w:type="paragraph" w:styleId="908" w:customStyle="1">
    <w:name w:val="纯文本1"/>
    <w:basedOn w:val="662"/>
    <w:uiPriority w:val="0"/>
    <w:qFormat/>
    <w:rPr>
      <w:rFonts w:hint="eastAsia" w:ascii="宋体" w:hAnsi="Courier New" w:eastAsia="楷体_GB2312"/>
      <w:sz w:val="28"/>
      <w:szCs w:val="20"/>
    </w:rPr>
  </w:style>
  <w:style w:type="character" w:styleId="909" w:customStyle="1">
    <w:name w:val="font71"/>
    <w:basedOn w:val="672"/>
    <w:uiPriority w:val="0"/>
    <w:qFormat/>
    <w:rPr>
      <w:rFonts w:hint="eastAsia" w:ascii="宋体" w:hAnsi="宋体" w:eastAsia="宋体" w:cs="宋体"/>
      <w:color w:val="000000"/>
      <w:sz w:val="20"/>
      <w:szCs w:val="20"/>
      <w:u w:val="none"/>
    </w:rPr>
  </w:style>
  <w:style w:type="paragraph" w:styleId="910" w:customStyle="1">
    <w:name w:val="纯文本11"/>
    <w:basedOn w:val="662"/>
    <w:uiPriority w:val="0"/>
    <w:qFormat/>
    <w:rPr>
      <w:rFonts w:ascii="宋体" w:hAnsi="Courier New"/>
      <w:szCs w:val="20"/>
    </w:rPr>
  </w:style>
  <w:style w:type="table" w:styleId="911" w:customStyle="1">
    <w:name w:val="Table Normal"/>
    <w:uiPriority w:val="0"/>
    <w:unhideWhenUsed/>
    <w:qFormat/>
    <w:tblPr>
      <w:tblLayout w:type="fixed"/>
      <w:tblCellMar>
        <w:left w:w="0" w:type="dxa"/>
        <w:top w:w="0" w:type="dxa"/>
        <w:right w:w="0" w:type="dxa"/>
        <w:bottom w:w="0" w:type="dxa"/>
      </w:tblCellMar>
    </w:tblPr>
  </w:style>
  <w:style w:type="paragraph" w:styleId="912" w:customStyle="1">
    <w:name w:val="Table Text"/>
    <w:basedOn w:val="662"/>
    <w:uiPriority w:val="0"/>
    <w:semiHidden/>
    <w:qFormat/>
    <w:rPr>
      <w:rFonts w:ascii="Arial" w:hAnsi="Arial" w:eastAsia="Arial" w:cs="Arial"/>
      <w:szCs w:val="21"/>
      <w:lang w:eastAsia="en-US"/>
    </w:rPr>
  </w:style>
  <w:style w:type="numbering" w:styleId="10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陈倩倩</cp:lastModifiedBy>
  <cp:revision>5</cp:revision>
  <dcterms:created xsi:type="dcterms:W3CDTF">2025-02-17T03:11:00Z</dcterms:created>
  <dcterms:modified xsi:type="dcterms:W3CDTF">2025-12-01T09:01:25Z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8E4746B1DF1946CBBD2C995A2C7DF35A_13</vt:lpwstr>
  </property>
  <property fmtid="{D5CDD505-2E9C-101B-9397-08002B2CF9AE}" pid="4" name="KSOTemplateDocerSaveRecord">
    <vt:lpwstr>eyJoZGlkIjoiYTUyODM2N2QzZGI3OTBiYjM0NTY0ZjUwNGVmOTY5ZTYiLCJ1c2VySWQiOiIyODk5MDIxOTMifQ==</vt:lpwstr>
  </property>
</Properties>
</file>